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rFonts w:ascii="Times New Roman"/>
          <w:sz w:val="20"/>
        </w:rPr>
        <w:pict>
          <v:group style="width:498.45pt;height:44.65pt;mso-position-horizontal-relative:char;mso-position-vertical-relative:line" id="docshapegroup1" coordorigin="0,0" coordsize="9969,893">
            <v:rect style="position:absolute;left:0;top:803;width:9969;height:15" id="docshape2" filled="true" fillcolor="#bfbfbf" stroked="false">
              <v:fill type="solid"/>
            </v:rect>
            <v:shape style="position:absolute;left:0;top:0;width:3958;height:893" type="#_x0000_t75" id="docshape3" stroked="false">
              <v:imagedata r:id="rId5" o:title=""/>
            </v:shape>
            <v:shapetype id="_x0000_t202" o:spt="202" coordsize="21600,21600" path="m,l,21600r21600,l21600,xe">
              <v:stroke joinstyle="miter"/>
              <v:path gradientshapeok="t" o:connecttype="rect"/>
            </v:shapetype>
            <v:shape style="position:absolute;left:0;top:0;width:9969;height:893" type="#_x0000_t202" id="docshape4" filled="false" stroked="false">
              <v:textbox inset="0,0,0,0">
                <w:txbxContent>
                  <w:p>
                    <w:pPr>
                      <w:spacing w:line="240" w:lineRule="auto" w:before="0"/>
                      <w:rPr>
                        <w:rFonts w:ascii="Times New Roman"/>
                        <w:sz w:val="18"/>
                      </w:rPr>
                    </w:pPr>
                  </w:p>
                  <w:p>
                    <w:pPr>
                      <w:spacing w:line="240" w:lineRule="auto" w:before="0"/>
                      <w:rPr>
                        <w:rFonts w:ascii="Times New Roman"/>
                        <w:sz w:val="18"/>
                      </w:rPr>
                    </w:pPr>
                  </w:p>
                  <w:p>
                    <w:pPr>
                      <w:spacing w:line="240" w:lineRule="auto" w:before="7"/>
                      <w:rPr>
                        <w:rFonts w:ascii="Times New Roman"/>
                        <w:sz w:val="15"/>
                      </w:rPr>
                    </w:pPr>
                  </w:p>
                  <w:p>
                    <w:pPr>
                      <w:spacing w:before="0"/>
                      <w:ind w:left="0" w:right="-15" w:firstLine="0"/>
                      <w:jc w:val="right"/>
                      <w:rPr>
                        <w:sz w:val="18"/>
                      </w:rPr>
                    </w:pPr>
                    <w:r>
                      <w:rPr>
                        <w:sz w:val="18"/>
                      </w:rPr>
                      <w:t>列印時間：112/06/14</w:t>
                    </w:r>
                    <w:r>
                      <w:rPr>
                        <w:spacing w:val="-19"/>
                        <w:sz w:val="18"/>
                      </w:rPr>
                      <w:t> </w:t>
                    </w:r>
                    <w:r>
                      <w:rPr>
                        <w:spacing w:val="-2"/>
                        <w:sz w:val="18"/>
                      </w:rPr>
                      <w:t>10:12</w:t>
                    </w:r>
                  </w:p>
                </w:txbxContent>
              </v:textbox>
              <w10:wrap type="none"/>
            </v:shape>
          </v:group>
        </w:pict>
      </w:r>
      <w:r>
        <w:rPr>
          <w:rFonts w:ascii="Times New Roman"/>
          <w:sz w:val="20"/>
        </w:rPr>
      </w:r>
    </w:p>
    <w:p>
      <w:pPr>
        <w:pStyle w:val="BodyText"/>
        <w:spacing w:before="4"/>
        <w:rPr>
          <w:rFonts w:ascii="Times New Roman"/>
          <w:sz w:val="14"/>
        </w:rPr>
      </w:pPr>
    </w:p>
    <w:p>
      <w:pPr>
        <w:pStyle w:val="BodyText"/>
        <w:spacing w:before="58"/>
        <w:ind w:left="108"/>
      </w:pPr>
      <w:r>
        <w:rPr>
          <w:spacing w:val="19"/>
        </w:rPr>
        <w:t>所有條文</w:t>
      </w:r>
    </w:p>
    <w:p>
      <w:pPr>
        <w:pStyle w:val="BodyText"/>
        <w:spacing w:before="10"/>
        <w:rPr>
          <w:sz w:val="21"/>
        </w:rPr>
      </w:pPr>
    </w:p>
    <w:p>
      <w:pPr>
        <w:spacing w:after="0"/>
        <w:rPr>
          <w:sz w:val="21"/>
        </w:rPr>
        <w:sectPr>
          <w:type w:val="continuous"/>
          <w:pgSz w:w="11900" w:h="16840"/>
          <w:pgMar w:top="760" w:bottom="280" w:left="820" w:right="760"/>
        </w:sectPr>
      </w:pPr>
    </w:p>
    <w:p>
      <w:pPr>
        <w:pStyle w:val="BodyText"/>
        <w:spacing w:before="59"/>
        <w:ind w:left="108"/>
      </w:pPr>
      <w:r>
        <w:rPr/>
        <w:pict>
          <v:group style="position:absolute;margin-left:202.654663pt;margin-top:4.279493pt;width:13.4pt;height:13.4pt;mso-position-horizontal-relative:page;mso-position-vertical-relative:paragraph;z-index:15729152" id="docshapegroup5" coordorigin="4053,86" coordsize="268,268">
            <v:rect style="position:absolute;left:4060;top:93;width:253;height:253" id="docshape6" filled="false" stroked="true" strokeweight=".743885pt" strokecolor="#999999">
              <v:stroke dashstyle="solid"/>
            </v:rect>
            <v:shape style="position:absolute;left:4053;top:85;width:268;height:268" type="#_x0000_t202" id="docshape7" filled="false" stroked="false">
              <v:textbox inset="0,0,0,0">
                <w:txbxContent>
                  <w:p>
                    <w:pPr>
                      <w:spacing w:before="13"/>
                      <w:ind w:left="37" w:right="0" w:firstLine="0"/>
                      <w:jc w:val="left"/>
                      <w:rPr>
                        <w:sz w:val="18"/>
                      </w:rPr>
                    </w:pPr>
                    <w:r>
                      <w:rPr>
                        <w:spacing w:val="-5"/>
                        <w:sz w:val="18"/>
                      </w:rPr>
                      <w:t>EN</w:t>
                    </w:r>
                  </w:p>
                </w:txbxContent>
              </v:textbox>
              <w10:wrap type="none"/>
            </v:shape>
            <w10:wrap type="none"/>
          </v:group>
        </w:pict>
      </w:r>
      <w:r>
        <w:rPr>
          <w:spacing w:val="12"/>
        </w:rPr>
        <w:t>法規名稱： 個人資料保護法</w:t>
      </w:r>
    </w:p>
    <w:p>
      <w:pPr>
        <w:pStyle w:val="BodyText"/>
        <w:spacing w:before="94"/>
        <w:ind w:left="108"/>
      </w:pPr>
      <w:r>
        <w:rPr>
          <w:spacing w:val="16"/>
        </w:rPr>
        <w:t>修正日期： 民國 </w:t>
      </w:r>
      <w:r>
        <w:rPr/>
        <w:t>112</w:t>
      </w:r>
      <w:r>
        <w:rPr>
          <w:spacing w:val="19"/>
        </w:rPr>
        <w:t> 年 </w:t>
      </w:r>
      <w:r>
        <w:rPr/>
        <w:t>05</w:t>
      </w:r>
      <w:r>
        <w:rPr>
          <w:spacing w:val="7"/>
        </w:rPr>
        <w:t> 月</w:t>
      </w:r>
    </w:p>
    <w:p>
      <w:pPr>
        <w:spacing w:line="240" w:lineRule="auto" w:before="13"/>
        <w:rPr>
          <w:sz w:val="32"/>
        </w:rPr>
      </w:pPr>
      <w:r>
        <w:rPr/>
        <w:br w:type="column"/>
      </w:r>
      <w:r>
        <w:rPr>
          <w:sz w:val="32"/>
        </w:rPr>
      </w:r>
    </w:p>
    <w:p>
      <w:pPr>
        <w:pStyle w:val="BodyText"/>
        <w:ind w:left="93"/>
      </w:pPr>
      <w:r>
        <w:rPr/>
        <w:t>31</w:t>
      </w:r>
      <w:r>
        <w:rPr>
          <w:spacing w:val="7"/>
        </w:rPr>
        <w:t> 日</w:t>
      </w:r>
    </w:p>
    <w:p>
      <w:pPr>
        <w:spacing w:after="0"/>
        <w:sectPr>
          <w:type w:val="continuous"/>
          <w:pgSz w:w="11900" w:h="16840"/>
          <w:pgMar w:top="760" w:bottom="280" w:left="820" w:right="760"/>
          <w:cols w:num="2" w:equalWidth="0">
            <w:col w:w="3449" w:space="40"/>
            <w:col w:w="6831"/>
          </w:cols>
        </w:sectPr>
      </w:pPr>
    </w:p>
    <w:p>
      <w:pPr>
        <w:pStyle w:val="BodyText"/>
        <w:spacing w:before="94"/>
        <w:ind w:left="108"/>
      </w:pPr>
      <w:r>
        <w:rPr>
          <w:spacing w:val="13"/>
        </w:rPr>
        <w:t>生效狀態： ※本法規部分或全部條文尚未生效，最後生效日期：未定</w:t>
      </w:r>
    </w:p>
    <w:p>
      <w:pPr>
        <w:pStyle w:val="BodyText"/>
        <w:spacing w:before="99"/>
        <w:ind w:left="93"/>
      </w:pPr>
      <w:r>
        <w:rPr/>
        <w:br w:type="column"/>
      </w:r>
      <w:r>
        <w:rPr>
          <w:rFonts w:ascii="Arial" w:hAnsi="Arial" w:eastAsia="Arial"/>
          <w:w w:val="110"/>
        </w:rPr>
        <w:t></w:t>
      </w:r>
      <w:r>
        <w:rPr>
          <w:spacing w:val="10"/>
          <w:w w:val="105"/>
          <w:position w:val="1"/>
        </w:rPr>
        <w:t>連結舊法規內容</w:t>
      </w:r>
    </w:p>
    <w:p>
      <w:pPr>
        <w:spacing w:after="0"/>
        <w:sectPr>
          <w:type w:val="continuous"/>
          <w:pgSz w:w="11900" w:h="16840"/>
          <w:pgMar w:top="760" w:bottom="280" w:left="820" w:right="760"/>
          <w:cols w:num="2" w:equalWidth="0">
            <w:col w:w="7377" w:space="40"/>
            <w:col w:w="2903"/>
          </w:cols>
        </w:sectPr>
      </w:pPr>
    </w:p>
    <w:p>
      <w:pPr>
        <w:pStyle w:val="BodyText"/>
        <w:spacing w:before="6"/>
        <w:rPr>
          <w:sz w:val="7"/>
        </w:rPr>
      </w:pPr>
    </w:p>
    <w:p>
      <w:pPr>
        <w:pStyle w:val="BodyText"/>
        <w:spacing w:line="244" w:lineRule="auto" w:before="59"/>
        <w:ind w:left="1440" w:right="322"/>
      </w:pPr>
      <w:r>
        <w:rPr>
          <w:spacing w:val="18"/>
        </w:rPr>
        <w:t>本法 </w:t>
      </w:r>
      <w:r>
        <w:rPr/>
        <w:t>112.05.31</w:t>
      </w:r>
      <w:r>
        <w:rPr>
          <w:spacing w:val="80"/>
          <w:w w:val="150"/>
        </w:rPr>
        <w:t> </w:t>
      </w:r>
      <w:r>
        <w:rPr>
          <w:spacing w:val="16"/>
        </w:rPr>
        <w:t>修正第 </w:t>
      </w:r>
      <w:r>
        <w:rPr/>
        <w:t>56</w:t>
      </w:r>
      <w:r>
        <w:rPr>
          <w:spacing w:val="16"/>
        </w:rPr>
        <w:t> 條條文及增訂第 </w:t>
      </w:r>
      <w:r>
        <w:rPr/>
        <w:t>1-1</w:t>
      </w:r>
      <w:r>
        <w:rPr>
          <w:spacing w:val="80"/>
          <w:w w:val="150"/>
        </w:rPr>
        <w:t> </w:t>
      </w:r>
      <w:r>
        <w:rPr>
          <w:spacing w:val="12"/>
        </w:rPr>
        <w:t>條條文，施行日期由行政院定</w:t>
      </w:r>
      <w:r>
        <w:rPr>
          <w:spacing w:val="2"/>
        </w:rPr>
        <w:t>之。</w:t>
      </w:r>
    </w:p>
    <w:p>
      <w:pPr>
        <w:pStyle w:val="BodyText"/>
        <w:spacing w:before="102"/>
        <w:ind w:left="108"/>
      </w:pPr>
      <w:r>
        <w:rPr>
          <w:spacing w:val="12"/>
        </w:rPr>
        <w:t>法規類別： 行政 ＞ 國家發展委員會 ＞ 通用目</w:t>
      </w:r>
    </w:p>
    <w:p>
      <w:pPr>
        <w:pStyle w:val="BodyText"/>
      </w:pPr>
    </w:p>
    <w:p>
      <w:pPr>
        <w:pStyle w:val="BodyText"/>
        <w:spacing w:before="188"/>
        <w:ind w:left="778"/>
      </w:pPr>
      <w:r>
        <w:rPr>
          <w:spacing w:val="21"/>
        </w:rPr>
        <w:t>第 一 章 總則</w:t>
      </w:r>
    </w:p>
    <w:p>
      <w:pPr>
        <w:pStyle w:val="BodyText"/>
        <w:spacing w:before="3"/>
        <w:rPr>
          <w:sz w:val="19"/>
        </w:rPr>
      </w:pP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0"/>
        <w:gridCol w:w="504"/>
        <w:gridCol w:w="466"/>
        <w:gridCol w:w="7534"/>
      </w:tblGrid>
      <w:tr>
        <w:trPr>
          <w:trHeight w:val="773" w:hRule="atLeast"/>
        </w:trPr>
        <w:tc>
          <w:tcPr>
            <w:tcW w:w="820" w:type="dxa"/>
          </w:tcPr>
          <w:p>
            <w:pPr>
              <w:pStyle w:val="TableParagraph"/>
              <w:spacing w:line="296" w:lineRule="exact"/>
              <w:ind w:right="61"/>
              <w:jc w:val="right"/>
              <w:rPr>
                <w:sz w:val="22"/>
              </w:rPr>
            </w:pPr>
            <w:r>
              <w:rPr>
                <w:spacing w:val="12"/>
                <w:sz w:val="22"/>
              </w:rPr>
              <w:t>第 </w:t>
            </w:r>
            <w:r>
              <w:rPr>
                <w:spacing w:val="-10"/>
                <w:sz w:val="22"/>
              </w:rPr>
              <w:t>1</w:t>
            </w:r>
          </w:p>
        </w:tc>
        <w:tc>
          <w:tcPr>
            <w:tcW w:w="504" w:type="dxa"/>
          </w:tcPr>
          <w:p>
            <w:pPr>
              <w:pStyle w:val="TableParagraph"/>
              <w:spacing w:line="296" w:lineRule="exact"/>
              <w:ind w:left="63"/>
              <w:rPr>
                <w:sz w:val="22"/>
              </w:rPr>
            </w:pPr>
            <w:r>
              <w:rPr>
                <w:w w:val="101"/>
                <w:sz w:val="22"/>
              </w:rPr>
              <w:t>條</w:t>
            </w:r>
          </w:p>
        </w:tc>
        <w:tc>
          <w:tcPr>
            <w:tcW w:w="466" w:type="dxa"/>
          </w:tcPr>
          <w:p>
            <w:pPr>
              <w:pStyle w:val="TableParagraph"/>
              <w:rPr>
                <w:rFonts w:ascii="Times New Roman"/>
                <w:sz w:val="22"/>
              </w:rPr>
            </w:pPr>
          </w:p>
        </w:tc>
        <w:tc>
          <w:tcPr>
            <w:tcW w:w="7534" w:type="dxa"/>
          </w:tcPr>
          <w:p>
            <w:pPr>
              <w:pStyle w:val="TableParagraph"/>
              <w:spacing w:line="266" w:lineRule="exact"/>
              <w:ind w:left="119"/>
              <w:rPr>
                <w:sz w:val="22"/>
              </w:rPr>
            </w:pPr>
            <w:r>
              <w:rPr>
                <w:spacing w:val="13"/>
                <w:sz w:val="22"/>
              </w:rPr>
              <w:t>為規範個人資料之蒐集、處理及利用，以避免人格權受侵害，並促進個</w:t>
            </w:r>
          </w:p>
          <w:p>
            <w:pPr>
              <w:pStyle w:val="TableParagraph"/>
              <w:spacing w:before="19"/>
              <w:ind w:left="119"/>
              <w:rPr>
                <w:sz w:val="22"/>
              </w:rPr>
            </w:pPr>
            <w:r>
              <w:rPr>
                <w:spacing w:val="12"/>
                <w:sz w:val="22"/>
              </w:rPr>
              <w:t>人資料之合理利用，特制定本法。</w:t>
            </w:r>
          </w:p>
        </w:tc>
      </w:tr>
      <w:tr>
        <w:trPr>
          <w:trHeight w:val="558" w:hRule="atLeast"/>
        </w:trPr>
        <w:tc>
          <w:tcPr>
            <w:tcW w:w="820" w:type="dxa"/>
          </w:tcPr>
          <w:p>
            <w:pPr>
              <w:pStyle w:val="TableParagraph"/>
              <w:spacing w:before="1"/>
              <w:rPr>
                <w:sz w:val="15"/>
              </w:rPr>
            </w:pPr>
          </w:p>
          <w:p>
            <w:pPr>
              <w:pStyle w:val="TableParagraph"/>
              <w:spacing w:before="1"/>
              <w:ind w:right="61"/>
              <w:jc w:val="right"/>
              <w:rPr>
                <w:sz w:val="22"/>
              </w:rPr>
            </w:pPr>
            <w:r>
              <w:rPr>
                <w:spacing w:val="20"/>
                <w:sz w:val="22"/>
              </w:rPr>
              <w:t>第 </w:t>
            </w:r>
            <w:r>
              <w:rPr>
                <w:sz w:val="22"/>
              </w:rPr>
              <w:t>1-</w:t>
            </w:r>
            <w:r>
              <w:rPr>
                <w:spacing w:val="-10"/>
                <w:sz w:val="22"/>
              </w:rPr>
              <w:t>1</w:t>
            </w:r>
          </w:p>
        </w:tc>
        <w:tc>
          <w:tcPr>
            <w:tcW w:w="504" w:type="dxa"/>
          </w:tcPr>
          <w:p>
            <w:pPr>
              <w:pStyle w:val="TableParagraph"/>
              <w:spacing w:before="1"/>
              <w:rPr>
                <w:sz w:val="15"/>
              </w:rPr>
            </w:pPr>
          </w:p>
          <w:p>
            <w:pPr>
              <w:pStyle w:val="TableParagraph"/>
              <w:spacing w:before="1"/>
              <w:ind w:left="63"/>
              <w:rPr>
                <w:sz w:val="22"/>
              </w:rPr>
            </w:pPr>
            <w:r>
              <w:rPr>
                <w:w w:val="101"/>
                <w:sz w:val="22"/>
              </w:rPr>
              <w:t>條</w:t>
            </w:r>
          </w:p>
        </w:tc>
        <w:tc>
          <w:tcPr>
            <w:tcW w:w="466" w:type="dxa"/>
          </w:tcPr>
          <w:p>
            <w:pPr>
              <w:pStyle w:val="TableParagraph"/>
              <w:spacing w:before="9"/>
              <w:rPr>
                <w:sz w:val="14"/>
              </w:rPr>
            </w:pPr>
          </w:p>
          <w:p>
            <w:pPr>
              <w:pStyle w:val="TableParagraph"/>
              <w:ind w:left="98"/>
              <w:jc w:val="center"/>
              <w:rPr>
                <w:rFonts w:ascii="Consolas"/>
                <w:i/>
                <w:sz w:val="23"/>
              </w:rPr>
            </w:pPr>
            <w:r>
              <w:rPr>
                <w:rFonts w:ascii="Consolas"/>
                <w:i/>
                <w:w w:val="101"/>
                <w:sz w:val="23"/>
              </w:rPr>
              <w:t>1</w:t>
            </w:r>
          </w:p>
        </w:tc>
        <w:tc>
          <w:tcPr>
            <w:tcW w:w="7534" w:type="dxa"/>
          </w:tcPr>
          <w:p>
            <w:pPr>
              <w:pStyle w:val="TableParagraph"/>
              <w:spacing w:before="182"/>
              <w:ind w:left="119"/>
              <w:rPr>
                <w:sz w:val="22"/>
              </w:rPr>
            </w:pPr>
            <w:r>
              <w:rPr>
                <w:spacing w:val="12"/>
                <w:sz w:val="22"/>
              </w:rPr>
              <w:t>本法之主管機關為個人資料保護委員會。</w:t>
            </w:r>
          </w:p>
        </w:tc>
      </w:tr>
      <w:tr>
        <w:trPr>
          <w:trHeight w:val="676" w:hRule="atLeast"/>
        </w:trPr>
        <w:tc>
          <w:tcPr>
            <w:tcW w:w="820"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spacing w:before="63"/>
              <w:ind w:left="98"/>
              <w:jc w:val="center"/>
              <w:rPr>
                <w:rFonts w:ascii="Consolas"/>
                <w:i/>
                <w:sz w:val="23"/>
              </w:rPr>
            </w:pPr>
            <w:r>
              <w:rPr>
                <w:rFonts w:ascii="Consolas"/>
                <w:i/>
                <w:w w:val="101"/>
                <w:sz w:val="23"/>
              </w:rPr>
              <w:t>2</w:t>
            </w:r>
          </w:p>
        </w:tc>
        <w:tc>
          <w:tcPr>
            <w:tcW w:w="7534" w:type="dxa"/>
          </w:tcPr>
          <w:p>
            <w:pPr>
              <w:pStyle w:val="TableParagraph"/>
              <w:spacing w:line="320" w:lineRule="atLeast" w:before="16"/>
              <w:ind w:left="119" w:right="47"/>
              <w:rPr>
                <w:sz w:val="22"/>
              </w:rPr>
            </w:pPr>
            <w:r>
              <w:rPr>
                <w:spacing w:val="11"/>
                <w:sz w:val="22"/>
              </w:rPr>
              <w:t>自個人資料保護委員會成立之日起，本法所列屬中央目的事業主管機</w:t>
            </w:r>
            <w:r>
              <w:rPr>
                <w:spacing w:val="80"/>
                <w:w w:val="150"/>
                <w:sz w:val="22"/>
              </w:rPr>
              <w:t> </w:t>
            </w:r>
            <w:r>
              <w:rPr>
                <w:spacing w:val="12"/>
                <w:sz w:val="22"/>
              </w:rPr>
              <w:t>關、直轄市、縣（市）</w:t>
            </w:r>
            <w:r>
              <w:rPr>
                <w:spacing w:val="11"/>
                <w:sz w:val="22"/>
              </w:rPr>
              <w:t>政府及第五十三條、第五十五條所列機關之權責</w:t>
            </w:r>
          </w:p>
        </w:tc>
      </w:tr>
      <w:tr>
        <w:trPr>
          <w:trHeight w:val="490" w:hRule="atLeast"/>
        </w:trPr>
        <w:tc>
          <w:tcPr>
            <w:tcW w:w="820"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3"/>
              <w:ind w:left="119"/>
              <w:rPr>
                <w:sz w:val="22"/>
              </w:rPr>
            </w:pPr>
            <w:r>
              <w:rPr>
                <w:spacing w:val="11"/>
                <w:sz w:val="22"/>
              </w:rPr>
              <w:t>事項，由該會管轄。</w:t>
            </w:r>
          </w:p>
        </w:tc>
      </w:tr>
      <w:tr>
        <w:trPr>
          <w:trHeight w:val="565" w:hRule="atLeast"/>
        </w:trPr>
        <w:tc>
          <w:tcPr>
            <w:tcW w:w="820" w:type="dxa"/>
          </w:tcPr>
          <w:p>
            <w:pPr>
              <w:pStyle w:val="TableParagraph"/>
              <w:spacing w:before="1"/>
              <w:rPr>
                <w:sz w:val="15"/>
              </w:rPr>
            </w:pPr>
          </w:p>
          <w:p>
            <w:pPr>
              <w:pStyle w:val="TableParagraph"/>
              <w:spacing w:before="1"/>
              <w:ind w:right="61"/>
              <w:jc w:val="right"/>
              <w:rPr>
                <w:sz w:val="22"/>
              </w:rPr>
            </w:pPr>
            <w:r>
              <w:rPr>
                <w:spacing w:val="12"/>
                <w:sz w:val="22"/>
              </w:rPr>
              <w:t>第 </w:t>
            </w:r>
            <w:r>
              <w:rPr>
                <w:spacing w:val="-10"/>
                <w:sz w:val="22"/>
              </w:rPr>
              <w:t>2</w:t>
            </w:r>
          </w:p>
        </w:tc>
        <w:tc>
          <w:tcPr>
            <w:tcW w:w="504" w:type="dxa"/>
          </w:tcPr>
          <w:p>
            <w:pPr>
              <w:pStyle w:val="TableParagraph"/>
              <w:spacing w:before="1"/>
              <w:rPr>
                <w:sz w:val="15"/>
              </w:rPr>
            </w:pPr>
          </w:p>
          <w:p>
            <w:pPr>
              <w:pStyle w:val="TableParagraph"/>
              <w:spacing w:before="1"/>
              <w:ind w:left="63"/>
              <w:rPr>
                <w:sz w:val="22"/>
              </w:rPr>
            </w:pPr>
            <w:r>
              <w:rPr>
                <w:w w:val="101"/>
                <w:sz w:val="22"/>
              </w:rPr>
              <w:t>條</w:t>
            </w:r>
          </w:p>
        </w:tc>
        <w:tc>
          <w:tcPr>
            <w:tcW w:w="466" w:type="dxa"/>
          </w:tcPr>
          <w:p>
            <w:pPr>
              <w:pStyle w:val="TableParagraph"/>
              <w:rPr>
                <w:rFonts w:ascii="Times New Roman"/>
                <w:sz w:val="22"/>
              </w:rPr>
            </w:pPr>
          </w:p>
        </w:tc>
        <w:tc>
          <w:tcPr>
            <w:tcW w:w="7534" w:type="dxa"/>
          </w:tcPr>
          <w:p>
            <w:pPr>
              <w:pStyle w:val="TableParagraph"/>
              <w:spacing w:before="182"/>
              <w:ind w:left="119"/>
              <w:rPr>
                <w:sz w:val="22"/>
              </w:rPr>
            </w:pPr>
            <w:r>
              <w:rPr>
                <w:spacing w:val="11"/>
                <w:sz w:val="22"/>
              </w:rPr>
              <w:t>本法用詞，定義如下：</w:t>
            </w:r>
          </w:p>
        </w:tc>
      </w:tr>
      <w:tr>
        <w:trPr>
          <w:trHeight w:val="312" w:hRule="atLeast"/>
        </w:trPr>
        <w:tc>
          <w:tcPr>
            <w:tcW w:w="820"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line="244" w:lineRule="exact" w:before="48"/>
              <w:ind w:left="119"/>
              <w:rPr>
                <w:sz w:val="22"/>
              </w:rPr>
            </w:pPr>
            <w:r>
              <w:rPr>
                <w:spacing w:val="13"/>
                <w:sz w:val="22"/>
              </w:rPr>
              <w:t>一、個人資料：指自然人之姓名、出生年月日、國民身分證統一編號、</w:t>
            </w:r>
          </w:p>
        </w:tc>
      </w:tr>
    </w:tbl>
    <w:p>
      <w:pPr>
        <w:pStyle w:val="BodyText"/>
        <w:spacing w:line="249" w:lineRule="auto" w:before="66"/>
        <w:ind w:left="3234" w:right="194"/>
        <w:jc w:val="both"/>
      </w:pPr>
      <w:r>
        <w:rPr>
          <w:spacing w:val="11"/>
        </w:rPr>
        <w:t>護照號碼、特徵、指紋、婚姻、家庭、教育、職業、病歷、醫療、基因、性生活、健康檢查、犯罪前科、聯絡方式、財務情況、社會活動及其他得以直接或間接方式識別該個人之資料。</w:t>
      </w:r>
    </w:p>
    <w:p>
      <w:pPr>
        <w:pStyle w:val="BodyText"/>
        <w:spacing w:line="254" w:lineRule="auto" w:before="96"/>
        <w:ind w:left="3234" w:right="164" w:hanging="447"/>
        <w:jc w:val="both"/>
      </w:pPr>
      <w:r>
        <w:rPr>
          <w:spacing w:val="11"/>
        </w:rPr>
        <w:t>二、個人資料檔案：指依系統建立而得以自動化機器或其他非自動化方式檢索、整理之個人資料之集合。</w:t>
      </w:r>
    </w:p>
    <w:p>
      <w:pPr>
        <w:pStyle w:val="BodyText"/>
        <w:spacing w:before="107"/>
        <w:ind w:left="2787"/>
        <w:jc w:val="both"/>
      </w:pPr>
      <w:r>
        <w:rPr>
          <w:spacing w:val="12"/>
        </w:rPr>
        <w:t>三、蒐集：指以任何方式取得個人資料。</w:t>
      </w:r>
    </w:p>
    <w:p>
      <w:pPr>
        <w:pStyle w:val="BodyText"/>
        <w:spacing w:line="244" w:lineRule="auto" w:before="124"/>
        <w:ind w:left="3234" w:right="402" w:hanging="447"/>
      </w:pPr>
      <w:r>
        <w:rPr>
          <w:spacing w:val="11"/>
        </w:rPr>
        <w:t>四、處理：指為建立或利用個人資料檔案所為資料之記錄、輸入、儲</w:t>
      </w:r>
      <w:r>
        <w:rPr>
          <w:spacing w:val="13"/>
        </w:rPr>
        <w:t>存、編輯、更正、複製、檢索、刪除、輸出、連結或內部傳送。</w:t>
      </w:r>
    </w:p>
    <w:p>
      <w:pPr>
        <w:pStyle w:val="BodyText"/>
        <w:spacing w:before="116"/>
        <w:ind w:left="2787"/>
      </w:pPr>
      <w:r>
        <w:rPr>
          <w:spacing w:val="12"/>
        </w:rPr>
        <w:t>五、利用：指將蒐集之個人資料為處理以外之使用。</w:t>
      </w:r>
    </w:p>
    <w:p>
      <w:pPr>
        <w:pStyle w:val="BodyText"/>
        <w:spacing w:before="124"/>
        <w:ind w:left="2787"/>
      </w:pPr>
      <w:r>
        <w:rPr>
          <w:spacing w:val="14"/>
        </w:rPr>
        <w:t>六、國際傳輸：指將個人資料作跨國（境）</w:t>
      </w:r>
      <w:r>
        <w:rPr>
          <w:spacing w:val="10"/>
        </w:rPr>
        <w:t>之處理或利用。</w:t>
      </w:r>
    </w:p>
    <w:p>
      <w:pPr>
        <w:pStyle w:val="BodyText"/>
        <w:spacing w:line="336" w:lineRule="auto" w:before="123"/>
        <w:ind w:left="2787" w:right="640"/>
      </w:pPr>
      <w:r>
        <w:rPr>
          <w:spacing w:val="11"/>
        </w:rPr>
        <w:t>七、公務機關：指依法行使公權力之中央或地方機關或行政法人。八、非公務機關：指前款以外之自然人、法人或其他團體。</w:t>
      </w:r>
    </w:p>
    <w:p>
      <w:pPr>
        <w:pStyle w:val="BodyText"/>
        <w:spacing w:before="2"/>
        <w:ind w:left="2787"/>
      </w:pPr>
      <w:r>
        <w:rPr>
          <w:spacing w:val="12"/>
        </w:rPr>
        <w:t>九、當事人：指個人資料之本人。</w:t>
      </w:r>
    </w:p>
    <w:p>
      <w:pPr>
        <w:pStyle w:val="BodyText"/>
        <w:spacing w:before="9"/>
        <w:rPr>
          <w:sz w:val="21"/>
        </w:rPr>
      </w:pPr>
    </w:p>
    <w:p>
      <w:pPr>
        <w:spacing w:after="0"/>
        <w:rPr>
          <w:sz w:val="21"/>
        </w:rPr>
        <w:sectPr>
          <w:type w:val="continuous"/>
          <w:pgSz w:w="11900" w:h="16840"/>
          <w:pgMar w:top="760" w:bottom="280" w:left="820" w:right="760"/>
        </w:sectPr>
      </w:pPr>
    </w:p>
    <w:p>
      <w:pPr>
        <w:pStyle w:val="BodyText"/>
        <w:spacing w:before="89"/>
        <w:ind w:left="1166"/>
      </w:pPr>
      <w:r>
        <w:rPr>
          <w:spacing w:val="12"/>
        </w:rPr>
        <w:t>第 </w:t>
      </w:r>
      <w:r>
        <w:rPr/>
        <w:t>3</w:t>
      </w:r>
      <w:r>
        <w:rPr>
          <w:spacing w:val="3"/>
        </w:rPr>
        <w:t> 條</w:t>
      </w:r>
    </w:p>
    <w:p>
      <w:pPr>
        <w:pStyle w:val="BodyText"/>
        <w:spacing w:line="244" w:lineRule="auto" w:before="59"/>
        <w:ind w:left="763" w:right="164"/>
      </w:pPr>
      <w:r>
        <w:rPr/>
        <w:br w:type="column"/>
      </w:r>
      <w:r>
        <w:rPr>
          <w:spacing w:val="11"/>
        </w:rPr>
        <w:t>當事人就其個人資料依本法規定行使之下列權利，不得預先拋棄或以特</w:t>
      </w:r>
      <w:r>
        <w:rPr>
          <w:spacing w:val="8"/>
        </w:rPr>
        <w:t>約限制之：</w:t>
      </w:r>
    </w:p>
    <w:p>
      <w:pPr>
        <w:pStyle w:val="BodyText"/>
        <w:spacing w:before="116"/>
        <w:ind w:left="763"/>
      </w:pPr>
      <w:r>
        <w:rPr>
          <w:spacing w:val="11"/>
        </w:rPr>
        <w:t>一、查詢或請求閱覽。</w:t>
      </w:r>
    </w:p>
    <w:p>
      <w:pPr>
        <w:spacing w:after="0"/>
        <w:sectPr>
          <w:type w:val="continuous"/>
          <w:pgSz w:w="11900" w:h="16840"/>
          <w:pgMar w:top="760" w:bottom="280" w:left="820" w:right="760"/>
          <w:cols w:num="2" w:equalWidth="0">
            <w:col w:w="1985" w:space="40"/>
            <w:col w:w="8295"/>
          </w:cols>
        </w:sectPr>
      </w:pPr>
    </w:p>
    <w:p>
      <w:pPr>
        <w:pStyle w:val="BodyText"/>
        <w:rPr>
          <w:sz w:val="2"/>
        </w:rPr>
      </w:pPr>
    </w:p>
    <w:tbl>
      <w:tblPr>
        <w:tblW w:w="0" w:type="auto"/>
        <w:jc w:val="left"/>
        <w:tblInd w:w="1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
        <w:gridCol w:w="242"/>
        <w:gridCol w:w="504"/>
        <w:gridCol w:w="466"/>
        <w:gridCol w:w="7534"/>
      </w:tblGrid>
      <w:tr>
        <w:trPr>
          <w:trHeight w:val="1703" w:hRule="atLeast"/>
        </w:trPr>
        <w:tc>
          <w:tcPr>
            <w:tcW w:w="1552" w:type="dxa"/>
            <w:gridSpan w:val="4"/>
          </w:tcPr>
          <w:p>
            <w:pPr>
              <w:pStyle w:val="TableParagraph"/>
              <w:rPr>
                <w:rFonts w:ascii="Times New Roman"/>
                <w:sz w:val="22"/>
              </w:rPr>
            </w:pPr>
          </w:p>
        </w:tc>
        <w:tc>
          <w:tcPr>
            <w:tcW w:w="7534" w:type="dxa"/>
          </w:tcPr>
          <w:p>
            <w:pPr>
              <w:pStyle w:val="TableParagraph"/>
              <w:spacing w:line="266" w:lineRule="exact"/>
              <w:ind w:left="119"/>
              <w:rPr>
                <w:sz w:val="22"/>
              </w:rPr>
            </w:pPr>
            <w:r>
              <w:rPr>
                <w:spacing w:val="11"/>
                <w:sz w:val="22"/>
              </w:rPr>
              <w:t>二、請求製給複製本。</w:t>
            </w:r>
          </w:p>
          <w:p>
            <w:pPr>
              <w:pStyle w:val="TableParagraph"/>
              <w:spacing w:before="123"/>
              <w:ind w:left="119"/>
              <w:rPr>
                <w:sz w:val="22"/>
              </w:rPr>
            </w:pPr>
            <w:r>
              <w:rPr>
                <w:spacing w:val="11"/>
                <w:sz w:val="22"/>
              </w:rPr>
              <w:t>三、請求補充或更正。</w:t>
            </w:r>
          </w:p>
          <w:p>
            <w:pPr>
              <w:pStyle w:val="TableParagraph"/>
              <w:spacing w:line="336" w:lineRule="auto" w:before="124"/>
              <w:ind w:left="119" w:right="3856"/>
              <w:rPr>
                <w:sz w:val="22"/>
              </w:rPr>
            </w:pPr>
            <w:r>
              <w:rPr>
                <w:spacing w:val="11"/>
                <w:sz w:val="22"/>
              </w:rPr>
              <w:t>四、請求停止蒐集、處理或利用。</w:t>
            </w:r>
            <w:r>
              <w:rPr>
                <w:spacing w:val="10"/>
                <w:sz w:val="22"/>
              </w:rPr>
              <w:t>五、請求刪除。</w:t>
            </w:r>
          </w:p>
        </w:tc>
      </w:tr>
      <w:tr>
        <w:trPr>
          <w:trHeight w:val="944" w:hRule="atLeast"/>
        </w:trPr>
        <w:tc>
          <w:tcPr>
            <w:tcW w:w="340" w:type="dxa"/>
          </w:tcPr>
          <w:p>
            <w:pPr>
              <w:pStyle w:val="TableParagraph"/>
              <w:spacing w:before="174"/>
              <w:ind w:right="64"/>
              <w:jc w:val="right"/>
              <w:rPr>
                <w:sz w:val="22"/>
              </w:rPr>
            </w:pPr>
            <w:r>
              <w:rPr>
                <w:w w:val="101"/>
                <w:sz w:val="22"/>
              </w:rPr>
              <w:t>第</w:t>
            </w:r>
          </w:p>
        </w:tc>
        <w:tc>
          <w:tcPr>
            <w:tcW w:w="242" w:type="dxa"/>
          </w:tcPr>
          <w:p>
            <w:pPr>
              <w:pStyle w:val="TableParagraph"/>
              <w:spacing w:before="174"/>
              <w:ind w:right="61"/>
              <w:jc w:val="right"/>
              <w:rPr>
                <w:sz w:val="22"/>
              </w:rPr>
            </w:pPr>
            <w:r>
              <w:rPr>
                <w:w w:val="101"/>
                <w:sz w:val="22"/>
              </w:rPr>
              <w:t>4</w:t>
            </w:r>
          </w:p>
        </w:tc>
        <w:tc>
          <w:tcPr>
            <w:tcW w:w="504" w:type="dxa"/>
          </w:tcPr>
          <w:p>
            <w:pPr>
              <w:pStyle w:val="TableParagraph"/>
              <w:spacing w:before="174"/>
              <w:ind w:left="63"/>
              <w:rPr>
                <w:sz w:val="22"/>
              </w:rPr>
            </w:pPr>
            <w:r>
              <w:rPr>
                <w:w w:val="101"/>
                <w:sz w:val="22"/>
              </w:rPr>
              <w:t>條</w:t>
            </w:r>
          </w:p>
        </w:tc>
        <w:tc>
          <w:tcPr>
            <w:tcW w:w="466" w:type="dxa"/>
          </w:tcPr>
          <w:p>
            <w:pPr>
              <w:pStyle w:val="TableParagraph"/>
              <w:rPr>
                <w:rFonts w:ascii="Times New Roman"/>
                <w:sz w:val="22"/>
              </w:rPr>
            </w:pPr>
          </w:p>
        </w:tc>
        <w:tc>
          <w:tcPr>
            <w:tcW w:w="7534" w:type="dxa"/>
          </w:tcPr>
          <w:p>
            <w:pPr>
              <w:pStyle w:val="TableParagraph"/>
              <w:spacing w:line="244" w:lineRule="auto" w:before="144"/>
              <w:ind w:left="119" w:right="47"/>
              <w:rPr>
                <w:sz w:val="22"/>
              </w:rPr>
            </w:pPr>
            <w:r>
              <w:rPr>
                <w:spacing w:val="11"/>
                <w:sz w:val="22"/>
              </w:rPr>
              <w:t>受公務機關或非公務機關委託蒐集、處理或利用個人資料者，於本法適</w:t>
            </w:r>
            <w:r>
              <w:rPr>
                <w:spacing w:val="10"/>
                <w:sz w:val="22"/>
              </w:rPr>
              <w:t>用範圍內，視同委託機關。</w:t>
            </w:r>
          </w:p>
        </w:tc>
      </w:tr>
      <w:tr>
        <w:trPr>
          <w:trHeight w:val="513" w:hRule="atLeast"/>
        </w:trPr>
        <w:tc>
          <w:tcPr>
            <w:tcW w:w="340" w:type="dxa"/>
          </w:tcPr>
          <w:p>
            <w:pPr>
              <w:pStyle w:val="TableParagraph"/>
              <w:spacing w:before="1"/>
              <w:rPr>
                <w:sz w:val="15"/>
              </w:rPr>
            </w:pPr>
          </w:p>
          <w:p>
            <w:pPr>
              <w:pStyle w:val="TableParagraph"/>
              <w:spacing w:line="282" w:lineRule="exact" w:before="1"/>
              <w:ind w:right="64"/>
              <w:jc w:val="right"/>
              <w:rPr>
                <w:sz w:val="22"/>
              </w:rPr>
            </w:pPr>
            <w:r>
              <w:rPr>
                <w:w w:val="101"/>
                <w:sz w:val="22"/>
              </w:rPr>
              <w:t>第</w:t>
            </w:r>
          </w:p>
        </w:tc>
        <w:tc>
          <w:tcPr>
            <w:tcW w:w="242" w:type="dxa"/>
          </w:tcPr>
          <w:p>
            <w:pPr>
              <w:pStyle w:val="TableParagraph"/>
              <w:spacing w:before="1"/>
              <w:rPr>
                <w:sz w:val="15"/>
              </w:rPr>
            </w:pPr>
          </w:p>
          <w:p>
            <w:pPr>
              <w:pStyle w:val="TableParagraph"/>
              <w:spacing w:line="282" w:lineRule="exact" w:before="1"/>
              <w:ind w:right="61"/>
              <w:jc w:val="right"/>
              <w:rPr>
                <w:sz w:val="22"/>
              </w:rPr>
            </w:pPr>
            <w:r>
              <w:rPr>
                <w:w w:val="101"/>
                <w:sz w:val="22"/>
              </w:rPr>
              <w:t>5</w:t>
            </w:r>
          </w:p>
        </w:tc>
        <w:tc>
          <w:tcPr>
            <w:tcW w:w="504" w:type="dxa"/>
          </w:tcPr>
          <w:p>
            <w:pPr>
              <w:pStyle w:val="TableParagraph"/>
              <w:spacing w:before="1"/>
              <w:rPr>
                <w:sz w:val="15"/>
              </w:rPr>
            </w:pPr>
          </w:p>
          <w:p>
            <w:pPr>
              <w:pStyle w:val="TableParagraph"/>
              <w:spacing w:line="282" w:lineRule="exact" w:before="1"/>
              <w:ind w:left="63"/>
              <w:rPr>
                <w:sz w:val="22"/>
              </w:rPr>
            </w:pPr>
            <w:r>
              <w:rPr>
                <w:w w:val="101"/>
                <w:sz w:val="22"/>
              </w:rPr>
              <w:t>條</w:t>
            </w:r>
          </w:p>
        </w:tc>
        <w:tc>
          <w:tcPr>
            <w:tcW w:w="466" w:type="dxa"/>
          </w:tcPr>
          <w:p>
            <w:pPr>
              <w:pStyle w:val="TableParagraph"/>
              <w:rPr>
                <w:rFonts w:ascii="Times New Roman"/>
                <w:sz w:val="22"/>
              </w:rPr>
            </w:pPr>
          </w:p>
        </w:tc>
        <w:tc>
          <w:tcPr>
            <w:tcW w:w="7534" w:type="dxa"/>
          </w:tcPr>
          <w:p>
            <w:pPr>
              <w:pStyle w:val="TableParagraph"/>
              <w:spacing w:before="182"/>
              <w:ind w:left="119"/>
              <w:rPr>
                <w:sz w:val="22"/>
              </w:rPr>
            </w:pPr>
            <w:r>
              <w:rPr>
                <w:spacing w:val="13"/>
                <w:sz w:val="22"/>
              </w:rPr>
              <w:t>個人資料之蒐集、處理或利用，應尊重當事人之權益，依誠實及信用方</w:t>
            </w:r>
          </w:p>
        </w:tc>
      </w:tr>
      <w:tr>
        <w:trPr>
          <w:trHeight w:val="304" w:hRule="atLeast"/>
        </w:trPr>
        <w:tc>
          <w:tcPr>
            <w:tcW w:w="340" w:type="dxa"/>
          </w:tcPr>
          <w:p>
            <w:pPr>
              <w:pStyle w:val="TableParagraph"/>
              <w:rPr>
                <w:rFonts w:ascii="Times New Roman"/>
                <w:sz w:val="22"/>
              </w:rPr>
            </w:pPr>
          </w:p>
        </w:tc>
        <w:tc>
          <w:tcPr>
            <w:tcW w:w="242"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line="285" w:lineRule="exact"/>
              <w:ind w:left="119"/>
              <w:rPr>
                <w:sz w:val="22"/>
              </w:rPr>
            </w:pPr>
            <w:r>
              <w:rPr>
                <w:spacing w:val="13"/>
                <w:sz w:val="22"/>
              </w:rPr>
              <w:t>法為之，不得逾越特定目的之必要範圍，並應與蒐集之目的具有正當合</w:t>
            </w:r>
          </w:p>
        </w:tc>
      </w:tr>
      <w:tr>
        <w:trPr>
          <w:trHeight w:val="490" w:hRule="atLeast"/>
        </w:trPr>
        <w:tc>
          <w:tcPr>
            <w:tcW w:w="340" w:type="dxa"/>
          </w:tcPr>
          <w:p>
            <w:pPr>
              <w:pStyle w:val="TableParagraph"/>
              <w:rPr>
                <w:rFonts w:ascii="Times New Roman"/>
                <w:sz w:val="22"/>
              </w:rPr>
            </w:pPr>
          </w:p>
        </w:tc>
        <w:tc>
          <w:tcPr>
            <w:tcW w:w="242"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3"/>
              <w:ind w:left="119"/>
              <w:rPr>
                <w:sz w:val="22"/>
              </w:rPr>
            </w:pPr>
            <w:r>
              <w:rPr>
                <w:spacing w:val="9"/>
                <w:sz w:val="22"/>
              </w:rPr>
              <w:t>理之關聯。</w:t>
            </w:r>
          </w:p>
        </w:tc>
      </w:tr>
      <w:tr>
        <w:trPr>
          <w:trHeight w:val="513" w:hRule="atLeast"/>
        </w:trPr>
        <w:tc>
          <w:tcPr>
            <w:tcW w:w="340" w:type="dxa"/>
          </w:tcPr>
          <w:p>
            <w:pPr>
              <w:pStyle w:val="TableParagraph"/>
              <w:spacing w:before="1"/>
              <w:rPr>
                <w:sz w:val="15"/>
              </w:rPr>
            </w:pPr>
          </w:p>
          <w:p>
            <w:pPr>
              <w:pStyle w:val="TableParagraph"/>
              <w:spacing w:line="282" w:lineRule="exact" w:before="1"/>
              <w:ind w:right="64"/>
              <w:jc w:val="right"/>
              <w:rPr>
                <w:sz w:val="22"/>
              </w:rPr>
            </w:pPr>
            <w:r>
              <w:rPr>
                <w:w w:val="101"/>
                <w:sz w:val="22"/>
              </w:rPr>
              <w:t>第</w:t>
            </w:r>
          </w:p>
        </w:tc>
        <w:tc>
          <w:tcPr>
            <w:tcW w:w="242" w:type="dxa"/>
          </w:tcPr>
          <w:p>
            <w:pPr>
              <w:pStyle w:val="TableParagraph"/>
              <w:spacing w:before="1"/>
              <w:rPr>
                <w:sz w:val="15"/>
              </w:rPr>
            </w:pPr>
          </w:p>
          <w:p>
            <w:pPr>
              <w:pStyle w:val="TableParagraph"/>
              <w:spacing w:line="282" w:lineRule="exact" w:before="1"/>
              <w:ind w:right="61"/>
              <w:jc w:val="right"/>
              <w:rPr>
                <w:sz w:val="22"/>
              </w:rPr>
            </w:pPr>
            <w:r>
              <w:rPr>
                <w:w w:val="101"/>
                <w:sz w:val="22"/>
              </w:rPr>
              <w:t>6</w:t>
            </w:r>
          </w:p>
        </w:tc>
        <w:tc>
          <w:tcPr>
            <w:tcW w:w="504" w:type="dxa"/>
          </w:tcPr>
          <w:p>
            <w:pPr>
              <w:pStyle w:val="TableParagraph"/>
              <w:spacing w:before="1"/>
              <w:rPr>
                <w:sz w:val="15"/>
              </w:rPr>
            </w:pPr>
          </w:p>
          <w:p>
            <w:pPr>
              <w:pStyle w:val="TableParagraph"/>
              <w:spacing w:line="282" w:lineRule="exact" w:before="1"/>
              <w:ind w:left="63"/>
              <w:rPr>
                <w:sz w:val="22"/>
              </w:rPr>
            </w:pPr>
            <w:r>
              <w:rPr>
                <w:w w:val="101"/>
                <w:sz w:val="22"/>
              </w:rPr>
              <w:t>條</w:t>
            </w:r>
          </w:p>
        </w:tc>
        <w:tc>
          <w:tcPr>
            <w:tcW w:w="466" w:type="dxa"/>
          </w:tcPr>
          <w:p>
            <w:pPr>
              <w:pStyle w:val="TableParagraph"/>
              <w:spacing w:before="9"/>
              <w:rPr>
                <w:sz w:val="14"/>
              </w:rPr>
            </w:pPr>
          </w:p>
          <w:p>
            <w:pPr>
              <w:pStyle w:val="TableParagraph"/>
              <w:ind w:left="217"/>
              <w:rPr>
                <w:rFonts w:ascii="Consolas"/>
                <w:i/>
                <w:sz w:val="23"/>
              </w:rPr>
            </w:pPr>
            <w:r>
              <w:rPr>
                <w:rFonts w:ascii="Consolas"/>
                <w:i/>
                <w:w w:val="101"/>
                <w:sz w:val="23"/>
              </w:rPr>
              <w:t>1</w:t>
            </w:r>
          </w:p>
        </w:tc>
        <w:tc>
          <w:tcPr>
            <w:tcW w:w="7534" w:type="dxa"/>
          </w:tcPr>
          <w:p>
            <w:pPr>
              <w:pStyle w:val="TableParagraph"/>
              <w:spacing w:before="182"/>
              <w:ind w:left="119"/>
              <w:rPr>
                <w:sz w:val="22"/>
              </w:rPr>
            </w:pPr>
            <w:r>
              <w:rPr>
                <w:spacing w:val="13"/>
                <w:sz w:val="22"/>
              </w:rPr>
              <w:t>有關病歷、醫療、基因、性生活、健康檢查及犯罪前科之個人資料，不</w:t>
            </w:r>
          </w:p>
        </w:tc>
      </w:tr>
      <w:tr>
        <w:trPr>
          <w:trHeight w:val="356" w:hRule="atLeast"/>
        </w:trPr>
        <w:tc>
          <w:tcPr>
            <w:tcW w:w="340" w:type="dxa"/>
          </w:tcPr>
          <w:p>
            <w:pPr>
              <w:pStyle w:val="TableParagraph"/>
              <w:rPr>
                <w:rFonts w:ascii="Times New Roman"/>
                <w:sz w:val="22"/>
              </w:rPr>
            </w:pPr>
          </w:p>
        </w:tc>
        <w:tc>
          <w:tcPr>
            <w:tcW w:w="242"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line="303" w:lineRule="exact"/>
              <w:ind w:left="119"/>
              <w:rPr>
                <w:sz w:val="22"/>
              </w:rPr>
            </w:pPr>
            <w:r>
              <w:rPr>
                <w:spacing w:val="13"/>
                <w:sz w:val="22"/>
              </w:rPr>
              <w:t>得蒐集、處理或利用。但有下列情形之一者，不在此限：</w:t>
            </w:r>
          </w:p>
        </w:tc>
      </w:tr>
      <w:tr>
        <w:trPr>
          <w:trHeight w:val="424" w:hRule="atLeast"/>
        </w:trPr>
        <w:tc>
          <w:tcPr>
            <w:tcW w:w="340" w:type="dxa"/>
          </w:tcPr>
          <w:p>
            <w:pPr>
              <w:pStyle w:val="TableParagraph"/>
              <w:rPr>
                <w:rFonts w:ascii="Times New Roman"/>
                <w:sz w:val="22"/>
              </w:rPr>
            </w:pPr>
          </w:p>
        </w:tc>
        <w:tc>
          <w:tcPr>
            <w:tcW w:w="242"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55"/>
              <w:ind w:left="119"/>
              <w:rPr>
                <w:sz w:val="22"/>
              </w:rPr>
            </w:pPr>
            <w:r>
              <w:rPr>
                <w:spacing w:val="11"/>
                <w:sz w:val="22"/>
              </w:rPr>
              <w:t>一、法律明文規定。</w:t>
            </w:r>
          </w:p>
        </w:tc>
      </w:tr>
      <w:tr>
        <w:trPr>
          <w:trHeight w:val="327" w:hRule="atLeast"/>
        </w:trPr>
        <w:tc>
          <w:tcPr>
            <w:tcW w:w="340" w:type="dxa"/>
          </w:tcPr>
          <w:p>
            <w:pPr>
              <w:pStyle w:val="TableParagraph"/>
              <w:rPr>
                <w:rFonts w:ascii="Times New Roman"/>
                <w:sz w:val="22"/>
              </w:rPr>
            </w:pPr>
          </w:p>
        </w:tc>
        <w:tc>
          <w:tcPr>
            <w:tcW w:w="242"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line="244" w:lineRule="exact" w:before="63"/>
              <w:ind w:left="119"/>
              <w:rPr>
                <w:sz w:val="22"/>
              </w:rPr>
            </w:pPr>
            <w:r>
              <w:rPr>
                <w:spacing w:val="13"/>
                <w:sz w:val="22"/>
              </w:rPr>
              <w:t>二、公務機關執行法定職務或非公務機關履行法定義務必要範圍內，且</w:t>
            </w:r>
          </w:p>
        </w:tc>
      </w:tr>
    </w:tbl>
    <w:p>
      <w:pPr>
        <w:pStyle w:val="BodyText"/>
        <w:spacing w:before="66"/>
        <w:ind w:left="3234"/>
        <w:jc w:val="both"/>
      </w:pPr>
      <w:r>
        <w:rPr>
          <w:spacing w:val="12"/>
        </w:rPr>
        <w:t>事前或事後有適當安全維護措施。</w:t>
      </w:r>
    </w:p>
    <w:p>
      <w:pPr>
        <w:pStyle w:val="BodyText"/>
        <w:spacing w:before="124"/>
        <w:ind w:left="2787"/>
        <w:jc w:val="both"/>
      </w:pPr>
      <w:r>
        <w:rPr>
          <w:spacing w:val="12"/>
        </w:rPr>
        <w:t>三、當事人自行公開或其他已合法公開之個人資料。</w:t>
      </w:r>
    </w:p>
    <w:p>
      <w:pPr>
        <w:pStyle w:val="BodyText"/>
        <w:spacing w:line="249" w:lineRule="auto" w:before="123"/>
        <w:ind w:left="3234" w:right="164" w:hanging="447"/>
        <w:jc w:val="both"/>
      </w:pPr>
      <w:r>
        <w:rPr>
          <w:spacing w:val="11"/>
        </w:rPr>
        <w:t>四、公務機關或學術研究機構基於醫療、衛生或犯罪預防之目的，為統計或學術研究而有必要，且資料經過提供者處理後或經蒐集者依其揭露方式無從識別特定之當事人。</w:t>
      </w:r>
    </w:p>
    <w:p>
      <w:pPr>
        <w:pStyle w:val="BodyText"/>
        <w:spacing w:line="244" w:lineRule="auto" w:before="112"/>
        <w:ind w:left="3234" w:right="164" w:hanging="447"/>
        <w:jc w:val="both"/>
      </w:pPr>
      <w:r>
        <w:rPr>
          <w:spacing w:val="11"/>
        </w:rPr>
        <w:t>五、為協助公務機關執行法定職務或非公務機關履行法定義務必要範圍內，且事前或事後有適當安全維護措施。</w:t>
      </w:r>
    </w:p>
    <w:p>
      <w:pPr>
        <w:pStyle w:val="BodyText"/>
        <w:spacing w:line="249" w:lineRule="auto" w:before="116"/>
        <w:ind w:left="3234" w:right="164" w:hanging="447"/>
        <w:jc w:val="both"/>
      </w:pPr>
      <w:r>
        <w:rPr>
          <w:spacing w:val="11"/>
        </w:rPr>
        <w:t>六、經當事人書面同意。但逾越特定目的之必要範圍或其他法律另有限制不得僅依當事人書面同意蒐集、處理或利用，或其同意違反其意</w:t>
      </w:r>
      <w:r>
        <w:rPr>
          <w:spacing w:val="10"/>
        </w:rPr>
        <w:t>願者，不在此限。</w:t>
      </w:r>
    </w:p>
    <w:p>
      <w:pPr>
        <w:pStyle w:val="BodyText"/>
        <w:spacing w:line="247" w:lineRule="auto" w:before="116"/>
        <w:ind w:left="2787" w:right="164" w:hanging="369"/>
        <w:jc w:val="both"/>
      </w:pPr>
      <w:r>
        <w:rPr>
          <w:rFonts w:ascii="Consolas" w:eastAsia="Consolas"/>
          <w:i/>
          <w:sz w:val="23"/>
        </w:rPr>
        <w:t>2</w:t>
      </w:r>
      <w:r>
        <w:rPr>
          <w:rFonts w:ascii="Consolas" w:eastAsia="Consolas"/>
          <w:i/>
          <w:spacing w:val="14"/>
          <w:sz w:val="23"/>
        </w:rPr>
        <w:t> </w:t>
      </w:r>
      <w:r>
        <w:rPr>
          <w:spacing w:val="13"/>
          <w:position w:val="1"/>
        </w:rPr>
        <w:t>依前項規定蒐集、處理或利用個人資料，準用第八條、第九條規定；其</w:t>
      </w:r>
      <w:r>
        <w:rPr>
          <w:spacing w:val="11"/>
        </w:rPr>
        <w:t>中前項第六款之書面同意，準用第七條第一項、第二項及第四項規定，</w:t>
      </w:r>
      <w:r>
        <w:rPr>
          <w:spacing w:val="10"/>
        </w:rPr>
        <w:t>並以書面為之。</w:t>
      </w:r>
    </w:p>
    <w:p>
      <w:pPr>
        <w:pStyle w:val="BodyText"/>
        <w:spacing w:before="1"/>
        <w:rPr>
          <w:sz w:val="21"/>
        </w:rPr>
      </w:pPr>
    </w:p>
    <w:p>
      <w:pPr>
        <w:spacing w:after="0"/>
        <w:rPr>
          <w:sz w:val="21"/>
        </w:rPr>
        <w:sectPr>
          <w:pgSz w:w="11900" w:h="16840"/>
          <w:pgMar w:top="780" w:bottom="280" w:left="820" w:right="760"/>
        </w:sectPr>
      </w:pPr>
    </w:p>
    <w:p>
      <w:pPr>
        <w:pStyle w:val="BodyText"/>
        <w:spacing w:before="89"/>
        <w:ind w:left="1166"/>
      </w:pPr>
      <w:r>
        <w:rPr>
          <w:spacing w:val="12"/>
        </w:rPr>
        <w:t>第 </w:t>
      </w:r>
      <w:r>
        <w:rPr/>
        <w:t>7</w:t>
      </w:r>
      <w:r>
        <w:rPr>
          <w:spacing w:val="3"/>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57"/>
        <w:ind w:left="1166"/>
      </w:pPr>
      <w:r>
        <w:rPr>
          <w:spacing w:val="12"/>
        </w:rPr>
        <w:t>第 </w:t>
      </w:r>
      <w:r>
        <w:rPr/>
        <w:t>8</w:t>
      </w:r>
      <w:r>
        <w:rPr>
          <w:spacing w:val="3"/>
        </w:rPr>
        <w:t> 條</w:t>
      </w:r>
    </w:p>
    <w:p>
      <w:pPr>
        <w:pStyle w:val="ListParagraph"/>
        <w:numPr>
          <w:ilvl w:val="0"/>
          <w:numId w:val="1"/>
        </w:numPr>
        <w:tabs>
          <w:tab w:pos="764" w:val="left" w:leader="none"/>
        </w:tabs>
        <w:spacing w:line="240" w:lineRule="auto" w:before="64" w:after="0"/>
        <w:ind w:left="763" w:right="164" w:hanging="369"/>
        <w:jc w:val="both"/>
        <w:rPr>
          <w:sz w:val="22"/>
        </w:rPr>
      </w:pPr>
      <w:r>
        <w:rPr/>
        <w:br w:type="column"/>
      </w:r>
      <w:r>
        <w:rPr>
          <w:spacing w:val="11"/>
          <w:position w:val="1"/>
          <w:sz w:val="22"/>
        </w:rPr>
        <w:t>第十五條第二款及第十九條第一項第五款所稱同意，指當事人經蒐集者</w:t>
      </w:r>
      <w:r>
        <w:rPr>
          <w:spacing w:val="11"/>
          <w:sz w:val="22"/>
        </w:rPr>
        <w:t>告知本法所定應告知事項後，所為允許之意思表示。</w:t>
      </w:r>
    </w:p>
    <w:p>
      <w:pPr>
        <w:pStyle w:val="ListParagraph"/>
        <w:numPr>
          <w:ilvl w:val="0"/>
          <w:numId w:val="1"/>
        </w:numPr>
        <w:tabs>
          <w:tab w:pos="764" w:val="left" w:leader="none"/>
        </w:tabs>
        <w:spacing w:line="247" w:lineRule="auto" w:before="129" w:after="0"/>
        <w:ind w:left="763" w:right="164" w:hanging="369"/>
        <w:jc w:val="both"/>
        <w:rPr>
          <w:sz w:val="22"/>
        </w:rPr>
      </w:pPr>
      <w:r>
        <w:rPr>
          <w:spacing w:val="11"/>
          <w:position w:val="1"/>
          <w:sz w:val="22"/>
        </w:rPr>
        <w:t>第十六條第七款、第二十條第一項第六款所稱同意，指當事人經蒐集者</w:t>
      </w:r>
      <w:r>
        <w:rPr>
          <w:spacing w:val="11"/>
          <w:sz w:val="22"/>
        </w:rPr>
        <w:t>明確告知特定目的外之其他利用目的、範圍及同意與否對其權益之影響</w:t>
      </w:r>
      <w:r>
        <w:rPr>
          <w:spacing w:val="10"/>
          <w:sz w:val="22"/>
        </w:rPr>
        <w:t>後，單獨所為之意思表示。</w:t>
      </w:r>
    </w:p>
    <w:p>
      <w:pPr>
        <w:pStyle w:val="ListParagraph"/>
        <w:numPr>
          <w:ilvl w:val="0"/>
          <w:numId w:val="1"/>
        </w:numPr>
        <w:tabs>
          <w:tab w:pos="764" w:val="left" w:leader="none"/>
        </w:tabs>
        <w:spacing w:line="247" w:lineRule="auto" w:before="120" w:after="0"/>
        <w:ind w:left="763" w:right="164" w:hanging="369"/>
        <w:jc w:val="left"/>
        <w:rPr>
          <w:sz w:val="22"/>
        </w:rPr>
      </w:pPr>
      <w:r>
        <w:rPr>
          <w:spacing w:val="11"/>
          <w:position w:val="1"/>
          <w:sz w:val="22"/>
        </w:rPr>
        <w:t>公務機關或非公務機關明確告知當事人第八條第一項各款應告知事項</w:t>
      </w:r>
      <w:r>
        <w:rPr>
          <w:spacing w:val="80"/>
          <w:w w:val="150"/>
          <w:position w:val="1"/>
          <w:sz w:val="22"/>
        </w:rPr>
        <w:t> </w:t>
      </w:r>
      <w:r>
        <w:rPr>
          <w:spacing w:val="11"/>
          <w:sz w:val="22"/>
        </w:rPr>
        <w:t>時，當事人如未表示拒絕，並已提供其個人資料者，推定當事人已依第十五條第二款、第十九條第一項第五款之規定表示同意。</w:t>
      </w:r>
    </w:p>
    <w:p>
      <w:pPr>
        <w:pStyle w:val="ListParagraph"/>
        <w:numPr>
          <w:ilvl w:val="0"/>
          <w:numId w:val="1"/>
        </w:numPr>
        <w:tabs>
          <w:tab w:pos="764" w:val="left" w:leader="none"/>
        </w:tabs>
        <w:spacing w:line="240" w:lineRule="auto" w:before="121" w:after="0"/>
        <w:ind w:left="763" w:right="0" w:hanging="369"/>
        <w:jc w:val="left"/>
        <w:rPr>
          <w:sz w:val="22"/>
        </w:rPr>
      </w:pPr>
      <w:r>
        <w:rPr>
          <w:spacing w:val="13"/>
          <w:position w:val="1"/>
          <w:sz w:val="22"/>
        </w:rPr>
        <w:t>蒐集者就本法所稱經當事人同意之事實，應負舉證責任。</w:t>
      </w:r>
    </w:p>
    <w:p>
      <w:pPr>
        <w:pStyle w:val="BodyText"/>
        <w:spacing w:before="11"/>
        <w:rPr>
          <w:sz w:val="24"/>
        </w:rPr>
      </w:pPr>
    </w:p>
    <w:p>
      <w:pPr>
        <w:pStyle w:val="ListParagraph"/>
        <w:numPr>
          <w:ilvl w:val="0"/>
          <w:numId w:val="2"/>
        </w:numPr>
        <w:tabs>
          <w:tab w:pos="764" w:val="left" w:leader="none"/>
        </w:tabs>
        <w:spacing w:line="252" w:lineRule="auto" w:before="0" w:after="0"/>
        <w:ind w:left="763" w:right="164" w:hanging="369"/>
        <w:jc w:val="left"/>
        <w:rPr>
          <w:sz w:val="22"/>
        </w:rPr>
      </w:pPr>
      <w:r>
        <w:rPr>
          <w:spacing w:val="11"/>
          <w:position w:val="1"/>
          <w:sz w:val="22"/>
        </w:rPr>
        <w:t>公務機關或非公務機關依第十五條或第十九條規定向當事人蒐集個人資</w:t>
      </w:r>
      <w:r>
        <w:rPr>
          <w:spacing w:val="11"/>
          <w:sz w:val="22"/>
        </w:rPr>
        <w:t>料時，應明確告知當事人下列事項：</w:t>
      </w:r>
    </w:p>
    <w:p>
      <w:pPr>
        <w:spacing w:after="0" w:line="252" w:lineRule="auto"/>
        <w:jc w:val="left"/>
        <w:rPr>
          <w:sz w:val="22"/>
        </w:rPr>
        <w:sectPr>
          <w:type w:val="continuous"/>
          <w:pgSz w:w="11900" w:h="16840"/>
          <w:pgMar w:top="760" w:bottom="280" w:left="820" w:right="760"/>
          <w:cols w:num="2" w:equalWidth="0">
            <w:col w:w="1985" w:space="40"/>
            <w:col w:w="8295"/>
          </w:cols>
        </w:sectPr>
      </w:pPr>
    </w:p>
    <w:p>
      <w:pPr>
        <w:pStyle w:val="BodyText"/>
        <w:spacing w:line="336" w:lineRule="auto" w:before="44"/>
        <w:ind w:left="2787" w:right="3973"/>
      </w:pPr>
      <w:r>
        <w:rPr>
          <w:spacing w:val="11"/>
        </w:rPr>
        <w:t>一、公務機關或非公務機關名稱。</w:t>
      </w:r>
      <w:r>
        <w:rPr>
          <w:spacing w:val="10"/>
        </w:rPr>
        <w:t>二、蒐集之目的。</w:t>
      </w:r>
    </w:p>
    <w:p>
      <w:pPr>
        <w:pStyle w:val="BodyText"/>
        <w:spacing w:before="2"/>
        <w:ind w:left="2787"/>
      </w:pPr>
      <w:r>
        <w:rPr>
          <w:spacing w:val="11"/>
        </w:rPr>
        <w:t>三、個人資料之類別。</w:t>
      </w:r>
    </w:p>
    <w:p>
      <w:pPr>
        <w:pStyle w:val="BodyText"/>
        <w:spacing w:line="336" w:lineRule="auto" w:before="124"/>
        <w:ind w:left="2787" w:right="2545"/>
      </w:pPr>
      <w:r>
        <w:rPr>
          <w:spacing w:val="11"/>
        </w:rPr>
        <w:t>四、個人資料利用之期間、地區、對象及方式。</w:t>
      </w:r>
      <w:r>
        <w:rPr>
          <w:spacing w:val="12"/>
        </w:rPr>
        <w:t>五、當事人依第三條規定得行使之權利及方式。</w:t>
      </w:r>
    </w:p>
    <w:p>
      <w:pPr>
        <w:pStyle w:val="BodyText"/>
        <w:spacing w:before="1"/>
        <w:ind w:left="2787"/>
      </w:pPr>
      <w:r>
        <w:rPr>
          <w:spacing w:val="13"/>
        </w:rPr>
        <w:t>六、當事人得自由選擇提供個人資料時，不提供將對其權益之影響。</w:t>
      </w:r>
    </w:p>
    <w:p>
      <w:pPr>
        <w:pStyle w:val="ListParagraph"/>
        <w:numPr>
          <w:ilvl w:val="0"/>
          <w:numId w:val="2"/>
        </w:numPr>
        <w:tabs>
          <w:tab w:pos="2788" w:val="left" w:leader="none"/>
        </w:tabs>
        <w:spacing w:line="333" w:lineRule="auto" w:before="129" w:after="0"/>
        <w:ind w:left="2787" w:right="3259" w:hanging="369"/>
        <w:jc w:val="left"/>
        <w:rPr>
          <w:sz w:val="22"/>
        </w:rPr>
      </w:pPr>
      <w:r>
        <w:rPr>
          <w:spacing w:val="11"/>
          <w:position w:val="1"/>
          <w:sz w:val="22"/>
        </w:rPr>
        <w:t>有下列情形之一者，得免為前項之告知：</w:t>
      </w:r>
      <w:r>
        <w:rPr>
          <w:spacing w:val="10"/>
          <w:sz w:val="22"/>
        </w:rPr>
        <w:t>一、依法律規定得免告知。</w:t>
      </w:r>
    </w:p>
    <w:p>
      <w:pPr>
        <w:pStyle w:val="BodyText"/>
        <w:spacing w:line="244" w:lineRule="auto" w:before="3"/>
        <w:ind w:left="3234" w:right="164" w:hanging="447"/>
      </w:pPr>
      <w:r>
        <w:rPr>
          <w:spacing w:val="11"/>
        </w:rPr>
        <w:t>二、個人資料之蒐集係公務機關執行法定職務或非公務機關履行法定義</w:t>
      </w:r>
      <w:r>
        <w:rPr>
          <w:spacing w:val="8"/>
        </w:rPr>
        <w:t>務所必要。</w:t>
      </w:r>
    </w:p>
    <w:p>
      <w:pPr>
        <w:pStyle w:val="BodyText"/>
        <w:spacing w:line="336" w:lineRule="auto" w:before="116"/>
        <w:ind w:left="2787" w:right="3259"/>
      </w:pPr>
      <w:r>
        <w:rPr>
          <w:spacing w:val="11"/>
        </w:rPr>
        <w:t>三、告知將妨害公務機關執行法定職務。</w:t>
      </w:r>
      <w:r>
        <w:rPr>
          <w:spacing w:val="10"/>
        </w:rPr>
        <w:t>四、告知將妨害公共利益。</w:t>
      </w:r>
    </w:p>
    <w:p>
      <w:pPr>
        <w:pStyle w:val="BodyText"/>
        <w:spacing w:before="1"/>
        <w:ind w:left="2787"/>
      </w:pPr>
      <w:r>
        <w:rPr>
          <w:spacing w:val="12"/>
        </w:rPr>
        <w:t>五、當事人明知應告知之內容。</w:t>
      </w:r>
    </w:p>
    <w:p>
      <w:pPr>
        <w:pStyle w:val="BodyText"/>
        <w:spacing w:before="124"/>
        <w:ind w:left="2787"/>
      </w:pPr>
      <w:r>
        <w:rPr>
          <w:spacing w:val="13"/>
        </w:rPr>
        <w:t>六、個人資料之蒐集非基於營利之目的，且對當事人顯無不利之影響。</w:t>
      </w:r>
    </w:p>
    <w:p>
      <w:pPr>
        <w:pStyle w:val="BodyText"/>
        <w:spacing w:before="2"/>
        <w:rPr>
          <w:sz w:val="13"/>
        </w:rPr>
      </w:pPr>
    </w:p>
    <w:p>
      <w:pPr>
        <w:spacing w:after="0"/>
        <w:rPr>
          <w:sz w:val="13"/>
        </w:rPr>
        <w:sectPr>
          <w:pgSz w:w="11900" w:h="16840"/>
          <w:pgMar w:top="720" w:bottom="280" w:left="820" w:right="760"/>
        </w:sectPr>
      </w:pPr>
    </w:p>
    <w:p>
      <w:pPr>
        <w:pStyle w:val="BodyText"/>
        <w:spacing w:before="89"/>
        <w:jc w:val="right"/>
      </w:pPr>
      <w:r>
        <w:rPr>
          <w:spacing w:val="12"/>
        </w:rPr>
        <w:t>第 </w:t>
      </w:r>
      <w:r>
        <w:rPr/>
        <w:t>9</w:t>
      </w:r>
      <w:r>
        <w:rPr>
          <w:spacing w:val="3"/>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23"/>
        </w:rPr>
      </w:pPr>
    </w:p>
    <w:p>
      <w:pPr>
        <w:pStyle w:val="BodyText"/>
        <w:jc w:val="right"/>
      </w:pPr>
      <w:r>
        <w:rPr>
          <w:spacing w:val="14"/>
        </w:rPr>
        <w:t>第 </w:t>
      </w:r>
      <w:r>
        <w:rPr/>
        <w:t>10</w:t>
      </w:r>
      <w:r>
        <w:rPr>
          <w:spacing w:val="6"/>
        </w:rPr>
        <w:t> 條</w:t>
      </w:r>
    </w:p>
    <w:p>
      <w:pPr>
        <w:pStyle w:val="ListParagraph"/>
        <w:numPr>
          <w:ilvl w:val="0"/>
          <w:numId w:val="3"/>
        </w:numPr>
        <w:tabs>
          <w:tab w:pos="764" w:val="left" w:leader="none"/>
        </w:tabs>
        <w:spacing w:line="247" w:lineRule="auto" w:before="64" w:after="0"/>
        <w:ind w:left="763" w:right="164" w:hanging="369"/>
        <w:jc w:val="both"/>
        <w:rPr>
          <w:sz w:val="22"/>
        </w:rPr>
      </w:pPr>
      <w:r>
        <w:rPr/>
        <w:br w:type="column"/>
      </w:r>
      <w:r>
        <w:rPr>
          <w:spacing w:val="11"/>
          <w:position w:val="1"/>
          <w:sz w:val="22"/>
        </w:rPr>
        <w:t>公務機關或非公務機關依第十五條或第十九條規定蒐集非由當事人提供</w:t>
      </w:r>
      <w:r>
        <w:rPr>
          <w:spacing w:val="11"/>
          <w:sz w:val="22"/>
        </w:rPr>
        <w:t>之個人資料，應於處理或利用前，向當事人告知個人資料來源及前條第一項第一款至第五款所列事項。</w:t>
      </w:r>
    </w:p>
    <w:p>
      <w:pPr>
        <w:pStyle w:val="ListParagraph"/>
        <w:numPr>
          <w:ilvl w:val="0"/>
          <w:numId w:val="3"/>
        </w:numPr>
        <w:tabs>
          <w:tab w:pos="764" w:val="left" w:leader="none"/>
        </w:tabs>
        <w:spacing w:line="333" w:lineRule="auto" w:before="121" w:after="0"/>
        <w:ind w:left="763" w:right="3259" w:hanging="369"/>
        <w:jc w:val="both"/>
        <w:rPr>
          <w:sz w:val="22"/>
        </w:rPr>
      </w:pPr>
      <w:r>
        <w:rPr>
          <w:spacing w:val="11"/>
          <w:position w:val="1"/>
          <w:sz w:val="22"/>
        </w:rPr>
        <w:t>有下列情形之一者，得免為前項之告知：</w:t>
      </w:r>
      <w:r>
        <w:rPr>
          <w:spacing w:val="11"/>
          <w:sz w:val="22"/>
        </w:rPr>
        <w:t>一、有前條第二項所列各款情形之一。</w:t>
      </w:r>
    </w:p>
    <w:p>
      <w:pPr>
        <w:pStyle w:val="BodyText"/>
        <w:spacing w:line="336" w:lineRule="auto" w:before="2"/>
        <w:ind w:left="763" w:right="2069"/>
        <w:jc w:val="both"/>
      </w:pPr>
      <w:r>
        <w:rPr>
          <w:spacing w:val="11"/>
        </w:rPr>
        <w:t>二、當事人自行公開或其他已合法公開之個人資料。三、不能向當事人或其法定代理人為告知。</w:t>
      </w:r>
    </w:p>
    <w:p>
      <w:pPr>
        <w:pStyle w:val="BodyText"/>
        <w:spacing w:line="244" w:lineRule="auto" w:before="2"/>
        <w:ind w:left="1210" w:right="164" w:hanging="447"/>
        <w:jc w:val="both"/>
      </w:pPr>
      <w:r>
        <w:rPr>
          <w:spacing w:val="11"/>
        </w:rPr>
        <w:t>四、基於公共利益為統計或學術研究之目的而有必要，且該資料須經提</w:t>
      </w:r>
      <w:r>
        <w:rPr>
          <w:spacing w:val="13"/>
        </w:rPr>
        <w:t>供者處理後或蒐集者依其揭露方式，無從識別特定當事人者為限。</w:t>
      </w:r>
    </w:p>
    <w:p>
      <w:pPr>
        <w:pStyle w:val="BodyText"/>
        <w:spacing w:before="116"/>
        <w:ind w:left="763"/>
        <w:jc w:val="both"/>
      </w:pPr>
      <w:r>
        <w:rPr>
          <w:spacing w:val="13"/>
        </w:rPr>
        <w:t>五、大眾傳播業者基於新聞報導之公益目的而蒐集個人資料。</w:t>
      </w:r>
    </w:p>
    <w:p>
      <w:pPr>
        <w:pStyle w:val="ListParagraph"/>
        <w:numPr>
          <w:ilvl w:val="0"/>
          <w:numId w:val="3"/>
        </w:numPr>
        <w:tabs>
          <w:tab w:pos="764" w:val="left" w:leader="none"/>
        </w:tabs>
        <w:spacing w:line="240" w:lineRule="auto" w:before="129" w:after="0"/>
        <w:ind w:left="763" w:right="0" w:hanging="369"/>
        <w:jc w:val="both"/>
        <w:rPr>
          <w:sz w:val="22"/>
        </w:rPr>
      </w:pPr>
      <w:r>
        <w:rPr>
          <w:spacing w:val="12"/>
          <w:position w:val="1"/>
          <w:sz w:val="22"/>
        </w:rPr>
        <w:t>第一項之告知，得於首次對當事人為利用時併同為之。</w:t>
      </w:r>
    </w:p>
    <w:p>
      <w:pPr>
        <w:pStyle w:val="BodyText"/>
        <w:spacing w:before="7"/>
        <w:rPr>
          <w:sz w:val="25"/>
        </w:rPr>
      </w:pPr>
    </w:p>
    <w:p>
      <w:pPr>
        <w:pStyle w:val="BodyText"/>
        <w:spacing w:line="244" w:lineRule="auto"/>
        <w:ind w:left="763" w:right="164"/>
        <w:jc w:val="both"/>
      </w:pPr>
      <w:r>
        <w:rPr>
          <w:spacing w:val="11"/>
        </w:rPr>
        <w:t>公務機關或非公務機關應依當事人之請求，就其蒐集之個人資料，答覆查詢、提供閱覽或製給複製本。但有下列情形之一者，不在此限：</w:t>
      </w:r>
    </w:p>
    <w:p>
      <w:pPr>
        <w:pStyle w:val="BodyText"/>
        <w:spacing w:line="254" w:lineRule="auto" w:before="116"/>
        <w:ind w:left="1210" w:right="164" w:hanging="447"/>
        <w:jc w:val="both"/>
      </w:pPr>
      <w:r>
        <w:rPr>
          <w:spacing w:val="11"/>
        </w:rPr>
        <w:t>一、妨害國家安全、外交及軍事機密、整體經濟利益或其他國家重大利</w:t>
      </w:r>
      <w:r>
        <w:rPr>
          <w:spacing w:val="2"/>
        </w:rPr>
        <w:t>益。</w:t>
      </w:r>
    </w:p>
    <w:p>
      <w:pPr>
        <w:spacing w:after="0" w:line="254" w:lineRule="auto"/>
        <w:jc w:val="both"/>
        <w:sectPr>
          <w:type w:val="continuous"/>
          <w:pgSz w:w="11900" w:h="16840"/>
          <w:pgMar w:top="760" w:bottom="280" w:left="820" w:right="760"/>
          <w:cols w:num="2" w:equalWidth="0">
            <w:col w:w="1985" w:space="40"/>
            <w:col w:w="8295"/>
          </w:cols>
        </w:sectPr>
      </w:pPr>
    </w:p>
    <w:p>
      <w:pPr>
        <w:pStyle w:val="BodyText"/>
        <w:spacing w:before="8"/>
        <w:rPr>
          <w:sz w:val="10"/>
        </w:rPr>
      </w:pPr>
    </w:p>
    <w:tbl>
      <w:tblPr>
        <w:tblW w:w="0" w:type="auto"/>
        <w:jc w:val="left"/>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504"/>
        <w:gridCol w:w="466"/>
        <w:gridCol w:w="7534"/>
      </w:tblGrid>
      <w:tr>
        <w:trPr>
          <w:trHeight w:val="877" w:hRule="atLeast"/>
        </w:trPr>
        <w:tc>
          <w:tcPr>
            <w:tcW w:w="1671" w:type="dxa"/>
            <w:gridSpan w:val="3"/>
          </w:tcPr>
          <w:p>
            <w:pPr>
              <w:pStyle w:val="TableParagraph"/>
              <w:rPr>
                <w:rFonts w:ascii="Times New Roman"/>
                <w:sz w:val="22"/>
              </w:rPr>
            </w:pPr>
          </w:p>
        </w:tc>
        <w:tc>
          <w:tcPr>
            <w:tcW w:w="7534" w:type="dxa"/>
          </w:tcPr>
          <w:p>
            <w:pPr>
              <w:pStyle w:val="TableParagraph"/>
              <w:spacing w:line="266" w:lineRule="exact"/>
              <w:ind w:left="119"/>
              <w:rPr>
                <w:sz w:val="22"/>
              </w:rPr>
            </w:pPr>
            <w:r>
              <w:rPr>
                <w:spacing w:val="12"/>
                <w:sz w:val="22"/>
              </w:rPr>
              <w:t>二、妨害公務機關執行法定職務。</w:t>
            </w:r>
          </w:p>
          <w:p>
            <w:pPr>
              <w:pStyle w:val="TableParagraph"/>
              <w:spacing w:before="123"/>
              <w:ind w:left="119"/>
              <w:rPr>
                <w:sz w:val="22"/>
              </w:rPr>
            </w:pPr>
            <w:r>
              <w:rPr>
                <w:spacing w:val="12"/>
                <w:sz w:val="22"/>
              </w:rPr>
              <w:t>三、妨害該蒐集機關或第三人之重大利益。</w:t>
            </w:r>
          </w:p>
        </w:tc>
      </w:tr>
      <w:tr>
        <w:trPr>
          <w:trHeight w:val="862" w:hRule="atLeast"/>
        </w:trPr>
        <w:tc>
          <w:tcPr>
            <w:tcW w:w="701" w:type="dxa"/>
          </w:tcPr>
          <w:p>
            <w:pPr>
              <w:pStyle w:val="TableParagraph"/>
              <w:spacing w:before="1"/>
              <w:rPr>
                <w:sz w:val="15"/>
              </w:rPr>
            </w:pPr>
          </w:p>
          <w:p>
            <w:pPr>
              <w:pStyle w:val="TableParagraph"/>
              <w:spacing w:before="1"/>
              <w:ind w:left="50"/>
              <w:rPr>
                <w:sz w:val="22"/>
              </w:rPr>
            </w:pPr>
            <w:r>
              <w:rPr>
                <w:spacing w:val="12"/>
                <w:sz w:val="22"/>
              </w:rPr>
              <w:t>第 </w:t>
            </w:r>
            <w:r>
              <w:rPr>
                <w:spacing w:val="-7"/>
                <w:sz w:val="22"/>
              </w:rPr>
              <w:t>11</w:t>
            </w:r>
          </w:p>
        </w:tc>
        <w:tc>
          <w:tcPr>
            <w:tcW w:w="504" w:type="dxa"/>
          </w:tcPr>
          <w:p>
            <w:pPr>
              <w:pStyle w:val="TableParagraph"/>
              <w:spacing w:before="1"/>
              <w:rPr>
                <w:sz w:val="15"/>
              </w:rPr>
            </w:pPr>
          </w:p>
          <w:p>
            <w:pPr>
              <w:pStyle w:val="TableParagraph"/>
              <w:spacing w:before="1"/>
              <w:ind w:left="63"/>
              <w:rPr>
                <w:sz w:val="22"/>
              </w:rPr>
            </w:pPr>
            <w:r>
              <w:rPr>
                <w:w w:val="101"/>
                <w:sz w:val="22"/>
              </w:rPr>
              <w:t>條</w:t>
            </w:r>
          </w:p>
        </w:tc>
        <w:tc>
          <w:tcPr>
            <w:tcW w:w="466" w:type="dxa"/>
          </w:tcPr>
          <w:p>
            <w:pPr>
              <w:pStyle w:val="TableParagraph"/>
              <w:spacing w:before="9"/>
              <w:rPr>
                <w:sz w:val="14"/>
              </w:rPr>
            </w:pPr>
          </w:p>
          <w:p>
            <w:pPr>
              <w:pStyle w:val="TableParagraph"/>
              <w:ind w:left="98"/>
              <w:jc w:val="center"/>
              <w:rPr>
                <w:rFonts w:ascii="Consolas"/>
                <w:i/>
                <w:sz w:val="23"/>
              </w:rPr>
            </w:pPr>
            <w:r>
              <w:rPr>
                <w:rFonts w:ascii="Consolas"/>
                <w:i/>
                <w:w w:val="101"/>
                <w:sz w:val="23"/>
              </w:rPr>
              <w:t>1</w:t>
            </w:r>
          </w:p>
        </w:tc>
        <w:tc>
          <w:tcPr>
            <w:tcW w:w="7534" w:type="dxa"/>
          </w:tcPr>
          <w:p>
            <w:pPr>
              <w:pStyle w:val="TableParagraph"/>
              <w:spacing w:line="244" w:lineRule="auto" w:before="182"/>
              <w:ind w:left="119" w:right="47"/>
              <w:rPr>
                <w:sz w:val="22"/>
              </w:rPr>
            </w:pPr>
            <w:r>
              <w:rPr>
                <w:spacing w:val="11"/>
                <w:sz w:val="22"/>
              </w:rPr>
              <w:t>公務機關或非公務機關應維護個人資料之正確，並應主動或依當事人之</w:t>
            </w:r>
            <w:r>
              <w:rPr>
                <w:spacing w:val="10"/>
                <w:sz w:val="22"/>
              </w:rPr>
              <w:t>請求更正或補充之。</w:t>
            </w:r>
          </w:p>
        </w:tc>
      </w:tr>
      <w:tr>
        <w:trPr>
          <w:trHeight w:val="691" w:hRule="atLeast"/>
        </w:trPr>
        <w:tc>
          <w:tcPr>
            <w:tcW w:w="70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spacing w:before="86"/>
              <w:ind w:left="98"/>
              <w:jc w:val="center"/>
              <w:rPr>
                <w:rFonts w:ascii="Consolas"/>
                <w:i/>
                <w:sz w:val="23"/>
              </w:rPr>
            </w:pPr>
            <w:r>
              <w:rPr>
                <w:rFonts w:ascii="Consolas"/>
                <w:i/>
                <w:w w:val="101"/>
                <w:sz w:val="23"/>
              </w:rPr>
              <w:t>2</w:t>
            </w:r>
          </w:p>
        </w:tc>
        <w:tc>
          <w:tcPr>
            <w:tcW w:w="7534" w:type="dxa"/>
          </w:tcPr>
          <w:p>
            <w:pPr>
              <w:pStyle w:val="TableParagraph"/>
              <w:spacing w:line="310" w:lineRule="atLeast" w:before="52"/>
              <w:ind w:left="119" w:right="47"/>
              <w:rPr>
                <w:sz w:val="22"/>
              </w:rPr>
            </w:pPr>
            <w:r>
              <w:rPr>
                <w:spacing w:val="11"/>
                <w:sz w:val="22"/>
              </w:rPr>
              <w:t>個人資料正確性有爭議者，應主動或依當事人之請求停止處理或利用。但因執行職務或業務所必須，或經當事人書面同意，並經註明其爭議</w:t>
            </w:r>
          </w:p>
        </w:tc>
      </w:tr>
      <w:tr>
        <w:trPr>
          <w:trHeight w:val="275" w:hRule="atLeast"/>
        </w:trPr>
        <w:tc>
          <w:tcPr>
            <w:tcW w:w="701" w:type="dxa"/>
          </w:tcPr>
          <w:p>
            <w:pPr>
              <w:pStyle w:val="TableParagraph"/>
              <w:rPr>
                <w:rFonts w:ascii="Times New Roman"/>
                <w:sz w:val="20"/>
              </w:rPr>
            </w:pPr>
          </w:p>
        </w:tc>
        <w:tc>
          <w:tcPr>
            <w:tcW w:w="504" w:type="dxa"/>
          </w:tcPr>
          <w:p>
            <w:pPr>
              <w:pStyle w:val="TableParagraph"/>
              <w:rPr>
                <w:rFonts w:ascii="Times New Roman"/>
                <w:sz w:val="20"/>
              </w:rPr>
            </w:pPr>
          </w:p>
        </w:tc>
        <w:tc>
          <w:tcPr>
            <w:tcW w:w="466" w:type="dxa"/>
          </w:tcPr>
          <w:p>
            <w:pPr>
              <w:pStyle w:val="TableParagraph"/>
              <w:rPr>
                <w:rFonts w:ascii="Times New Roman"/>
                <w:sz w:val="20"/>
              </w:rPr>
            </w:pPr>
          </w:p>
        </w:tc>
        <w:tc>
          <w:tcPr>
            <w:tcW w:w="7534" w:type="dxa"/>
          </w:tcPr>
          <w:p>
            <w:pPr>
              <w:pStyle w:val="TableParagraph"/>
              <w:spacing w:line="244" w:lineRule="exact" w:before="10"/>
              <w:ind w:left="119"/>
              <w:rPr>
                <w:sz w:val="22"/>
              </w:rPr>
            </w:pPr>
            <w:r>
              <w:rPr>
                <w:spacing w:val="10"/>
                <w:sz w:val="22"/>
              </w:rPr>
              <w:t>者，不在此限。</w:t>
            </w:r>
          </w:p>
        </w:tc>
      </w:tr>
    </w:tbl>
    <w:p>
      <w:pPr>
        <w:spacing w:after="0" w:line="244" w:lineRule="exact"/>
        <w:rPr>
          <w:sz w:val="22"/>
        </w:rPr>
        <w:sectPr>
          <w:type w:val="continuous"/>
          <w:pgSz w:w="11900" w:h="16840"/>
          <w:pgMar w:top="760" w:bottom="280" w:left="820" w:right="760"/>
        </w:sectPr>
      </w:pPr>
    </w:p>
    <w:p>
      <w:pPr>
        <w:pStyle w:val="ListParagraph"/>
        <w:numPr>
          <w:ilvl w:val="0"/>
          <w:numId w:val="2"/>
        </w:numPr>
        <w:tabs>
          <w:tab w:pos="2788" w:val="left" w:leader="none"/>
        </w:tabs>
        <w:spacing w:line="247" w:lineRule="auto" w:before="49" w:after="0"/>
        <w:ind w:left="2787" w:right="164" w:hanging="369"/>
        <w:jc w:val="left"/>
        <w:rPr>
          <w:sz w:val="22"/>
        </w:rPr>
      </w:pPr>
      <w:r>
        <w:rPr>
          <w:spacing w:val="11"/>
          <w:position w:val="1"/>
          <w:sz w:val="22"/>
        </w:rPr>
        <w:t>個人資料蒐集之特定目的消失或期限屆滿時，應主動或依當事人之請</w:t>
      </w:r>
      <w:r>
        <w:rPr>
          <w:spacing w:val="80"/>
          <w:w w:val="150"/>
          <w:position w:val="1"/>
          <w:sz w:val="22"/>
        </w:rPr>
        <w:t> </w:t>
      </w:r>
      <w:r>
        <w:rPr>
          <w:spacing w:val="11"/>
          <w:sz w:val="22"/>
        </w:rPr>
        <w:t>求，刪除、停止處理或利用該個人資料。但因執行職務或業務所必須或經當事人書面同意者，不在此限。</w:t>
      </w:r>
    </w:p>
    <w:p>
      <w:pPr>
        <w:pStyle w:val="ListParagraph"/>
        <w:numPr>
          <w:ilvl w:val="0"/>
          <w:numId w:val="2"/>
        </w:numPr>
        <w:tabs>
          <w:tab w:pos="2788" w:val="left" w:leader="none"/>
        </w:tabs>
        <w:spacing w:line="240" w:lineRule="auto" w:before="121" w:after="0"/>
        <w:ind w:left="2787" w:right="402" w:hanging="369"/>
        <w:jc w:val="left"/>
        <w:rPr>
          <w:sz w:val="22"/>
        </w:rPr>
      </w:pPr>
      <w:r>
        <w:rPr>
          <w:spacing w:val="11"/>
          <w:position w:val="1"/>
          <w:sz w:val="22"/>
        </w:rPr>
        <w:t>違反本法規定蒐集、處理或利用個人資料者，應主動或依當事人之請</w:t>
      </w:r>
      <w:r>
        <w:rPr>
          <w:spacing w:val="11"/>
          <w:sz w:val="22"/>
        </w:rPr>
        <w:t>求，刪除、停止蒐集、處理或利用該個人資料。</w:t>
      </w:r>
    </w:p>
    <w:p>
      <w:pPr>
        <w:pStyle w:val="ListParagraph"/>
        <w:numPr>
          <w:ilvl w:val="0"/>
          <w:numId w:val="2"/>
        </w:numPr>
        <w:tabs>
          <w:tab w:pos="2788" w:val="left" w:leader="none"/>
        </w:tabs>
        <w:spacing w:line="252" w:lineRule="auto" w:before="128" w:after="0"/>
        <w:ind w:left="2787" w:right="402" w:hanging="369"/>
        <w:jc w:val="left"/>
        <w:rPr>
          <w:sz w:val="22"/>
        </w:rPr>
      </w:pPr>
      <w:r>
        <w:rPr>
          <w:spacing w:val="11"/>
          <w:position w:val="1"/>
          <w:sz w:val="22"/>
        </w:rPr>
        <w:t>因可歸責於公務機關或非公務機關之事由，未為更正或補充之個人資</w:t>
      </w:r>
      <w:r>
        <w:rPr>
          <w:spacing w:val="11"/>
          <w:sz w:val="22"/>
        </w:rPr>
        <w:t>料，應於更正或補充後，通知曾提供利用之對象。</w:t>
      </w:r>
    </w:p>
    <w:p>
      <w:pPr>
        <w:pStyle w:val="BodyText"/>
        <w:spacing w:before="1"/>
        <w:rPr>
          <w:sz w:val="12"/>
        </w:rPr>
      </w:pPr>
    </w:p>
    <w:p>
      <w:pPr>
        <w:spacing w:after="0"/>
        <w:rPr>
          <w:sz w:val="12"/>
        </w:rPr>
        <w:sectPr>
          <w:pgSz w:w="11900" w:h="16840"/>
          <w:pgMar w:top="720" w:bottom="280" w:left="820" w:right="760"/>
        </w:sectPr>
      </w:pPr>
    </w:p>
    <w:p>
      <w:pPr>
        <w:pStyle w:val="BodyText"/>
        <w:spacing w:before="88"/>
        <w:ind w:left="1047"/>
      </w:pPr>
      <w:r>
        <w:rPr>
          <w:spacing w:val="14"/>
        </w:rPr>
        <w:t>第 </w:t>
      </w:r>
      <w:r>
        <w:rPr/>
        <w:t>12</w:t>
      </w:r>
      <w:r>
        <w:rPr>
          <w:spacing w:val="6"/>
        </w:rPr>
        <w:t> 條</w:t>
      </w:r>
    </w:p>
    <w:p>
      <w:pPr>
        <w:pStyle w:val="BodyText"/>
      </w:pPr>
    </w:p>
    <w:p>
      <w:pPr>
        <w:pStyle w:val="BodyText"/>
        <w:spacing w:before="3"/>
        <w:rPr>
          <w:sz w:val="26"/>
        </w:rPr>
      </w:pPr>
    </w:p>
    <w:p>
      <w:pPr>
        <w:pStyle w:val="BodyText"/>
        <w:ind w:left="1047"/>
      </w:pPr>
      <w:r>
        <w:rPr>
          <w:spacing w:val="14"/>
        </w:rPr>
        <w:t>第 </w:t>
      </w:r>
      <w:r>
        <w:rPr/>
        <w:t>13</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6"/>
        </w:rPr>
      </w:pPr>
    </w:p>
    <w:p>
      <w:pPr>
        <w:pStyle w:val="BodyText"/>
        <w:ind w:left="1047"/>
      </w:pPr>
      <w:r>
        <w:rPr>
          <w:spacing w:val="14"/>
        </w:rPr>
        <w:t>第 </w:t>
      </w:r>
      <w:r>
        <w:rPr/>
        <w:t>14</w:t>
      </w:r>
      <w:r>
        <w:rPr>
          <w:spacing w:val="6"/>
        </w:rPr>
        <w:t> 條</w:t>
      </w:r>
    </w:p>
    <w:p>
      <w:pPr>
        <w:pStyle w:val="BodyText"/>
        <w:spacing w:line="254" w:lineRule="auto" w:before="58"/>
        <w:ind w:left="763" w:right="164"/>
      </w:pPr>
      <w:r>
        <w:rPr/>
        <w:br w:type="column"/>
      </w:r>
      <w:r>
        <w:rPr>
          <w:spacing w:val="11"/>
        </w:rPr>
        <w:t>公務機關或非公務機關違反本法規定，致個人資料被竊取、洩漏、竄改或其他侵害者，應查明後以適當方式通知當事人。</w:t>
      </w:r>
    </w:p>
    <w:p>
      <w:pPr>
        <w:pStyle w:val="BodyText"/>
        <w:spacing w:before="13"/>
        <w:rPr>
          <w:sz w:val="23"/>
        </w:rPr>
      </w:pPr>
    </w:p>
    <w:p>
      <w:pPr>
        <w:pStyle w:val="ListParagraph"/>
        <w:numPr>
          <w:ilvl w:val="0"/>
          <w:numId w:val="4"/>
        </w:numPr>
        <w:tabs>
          <w:tab w:pos="764" w:val="left" w:leader="none"/>
        </w:tabs>
        <w:spacing w:line="247" w:lineRule="auto" w:before="0" w:after="0"/>
        <w:ind w:left="763" w:right="164" w:hanging="369"/>
        <w:jc w:val="left"/>
        <w:rPr>
          <w:sz w:val="22"/>
        </w:rPr>
      </w:pPr>
      <w:r>
        <w:rPr>
          <w:spacing w:val="11"/>
          <w:position w:val="1"/>
          <w:sz w:val="22"/>
        </w:rPr>
        <w:t>公務機關或非公務機關受理當事人依第十條規定之請求，應於十五日</w:t>
      </w:r>
      <w:r>
        <w:rPr>
          <w:spacing w:val="80"/>
          <w:w w:val="150"/>
          <w:position w:val="1"/>
          <w:sz w:val="22"/>
        </w:rPr>
        <w:t> </w:t>
      </w:r>
      <w:r>
        <w:rPr>
          <w:spacing w:val="11"/>
          <w:sz w:val="22"/>
        </w:rPr>
        <w:t>內，為准駁之決定；必要時，得予延長，延長之期間不得逾十五日，並應將其原因以書面通知請求人。</w:t>
      </w:r>
    </w:p>
    <w:p>
      <w:pPr>
        <w:pStyle w:val="ListParagraph"/>
        <w:numPr>
          <w:ilvl w:val="0"/>
          <w:numId w:val="4"/>
        </w:numPr>
        <w:tabs>
          <w:tab w:pos="764" w:val="left" w:leader="none"/>
        </w:tabs>
        <w:spacing w:line="247" w:lineRule="auto" w:before="121" w:after="0"/>
        <w:ind w:left="763" w:right="164" w:hanging="369"/>
        <w:jc w:val="both"/>
        <w:rPr>
          <w:sz w:val="22"/>
        </w:rPr>
      </w:pPr>
      <w:r>
        <w:rPr>
          <w:spacing w:val="11"/>
          <w:position w:val="1"/>
          <w:sz w:val="22"/>
        </w:rPr>
        <w:t>公務機關或非公務機關受理當事人依第十一條規定之請求，應於三十日</w:t>
      </w:r>
      <w:r>
        <w:rPr>
          <w:spacing w:val="11"/>
          <w:sz w:val="22"/>
        </w:rPr>
        <w:t>內，為准駁之決定；必要時，得予延長，延長之期間不得逾三十日，並應將其原因以書面通知請求人。</w:t>
      </w:r>
    </w:p>
    <w:p>
      <w:pPr>
        <w:pStyle w:val="BodyText"/>
        <w:spacing w:before="4"/>
        <w:rPr>
          <w:sz w:val="25"/>
        </w:rPr>
      </w:pPr>
    </w:p>
    <w:p>
      <w:pPr>
        <w:pStyle w:val="BodyText"/>
        <w:spacing w:line="254" w:lineRule="auto"/>
        <w:ind w:left="763" w:right="164"/>
      </w:pPr>
      <w:r>
        <w:rPr>
          <w:spacing w:val="11"/>
        </w:rPr>
        <w:t>查詢或請求閱覽個人資料或製給複製本者，公務機關或非公務機關得酌</w:t>
      </w:r>
      <w:r>
        <w:rPr>
          <w:spacing w:val="10"/>
        </w:rPr>
        <w:t>收必要成本費用。</w:t>
      </w:r>
    </w:p>
    <w:p>
      <w:pPr>
        <w:spacing w:after="0" w:line="254" w:lineRule="auto"/>
        <w:sectPr>
          <w:type w:val="continuous"/>
          <w:pgSz w:w="11900" w:h="16840"/>
          <w:pgMar w:top="760" w:bottom="280" w:left="820" w:right="760"/>
          <w:cols w:num="2" w:equalWidth="0">
            <w:col w:w="1985" w:space="40"/>
            <w:col w:w="8295"/>
          </w:cols>
        </w:sectPr>
      </w:pPr>
    </w:p>
    <w:p>
      <w:pPr>
        <w:pStyle w:val="BodyText"/>
        <w:spacing w:before="4"/>
        <w:rPr>
          <w:sz w:val="18"/>
        </w:rPr>
      </w:pPr>
    </w:p>
    <w:p>
      <w:pPr>
        <w:pStyle w:val="BodyText"/>
        <w:spacing w:before="59"/>
        <w:ind w:left="778"/>
      </w:pPr>
      <w:r>
        <w:rPr>
          <w:spacing w:val="27"/>
        </w:rPr>
        <w:t>第 二 章 公務機關對個人資料之蒐集、處理及利用</w:t>
      </w:r>
    </w:p>
    <w:p>
      <w:pPr>
        <w:pStyle w:val="BodyText"/>
        <w:spacing w:before="2"/>
        <w:rPr>
          <w:sz w:val="13"/>
        </w:rPr>
      </w:pPr>
    </w:p>
    <w:p>
      <w:pPr>
        <w:spacing w:after="0"/>
        <w:rPr>
          <w:sz w:val="13"/>
        </w:rPr>
        <w:sectPr>
          <w:type w:val="continuous"/>
          <w:pgSz w:w="11900" w:h="16840"/>
          <w:pgMar w:top="760" w:bottom="280" w:left="820" w:right="760"/>
        </w:sectPr>
      </w:pPr>
    </w:p>
    <w:p>
      <w:pPr>
        <w:pStyle w:val="BodyText"/>
        <w:spacing w:before="89"/>
        <w:ind w:left="1047"/>
      </w:pPr>
      <w:r>
        <w:rPr>
          <w:spacing w:val="14"/>
        </w:rPr>
        <w:t>第 </w:t>
      </w:r>
      <w:r>
        <w:rPr/>
        <w:t>15</w:t>
      </w:r>
      <w:r>
        <w:rPr>
          <w:spacing w:val="6"/>
        </w:rPr>
        <w:t> 條</w:t>
      </w:r>
    </w:p>
    <w:p>
      <w:pPr>
        <w:pStyle w:val="BodyText"/>
      </w:pPr>
    </w:p>
    <w:p>
      <w:pPr>
        <w:pStyle w:val="BodyText"/>
      </w:pPr>
    </w:p>
    <w:p>
      <w:pPr>
        <w:pStyle w:val="BodyText"/>
      </w:pPr>
    </w:p>
    <w:p>
      <w:pPr>
        <w:pStyle w:val="BodyText"/>
      </w:pPr>
    </w:p>
    <w:p>
      <w:pPr>
        <w:pStyle w:val="BodyText"/>
      </w:pPr>
    </w:p>
    <w:p>
      <w:pPr>
        <w:pStyle w:val="BodyText"/>
        <w:spacing w:before="11"/>
        <w:rPr>
          <w:sz w:val="30"/>
        </w:rPr>
      </w:pPr>
    </w:p>
    <w:p>
      <w:pPr>
        <w:pStyle w:val="BodyText"/>
        <w:ind w:left="1047"/>
      </w:pPr>
      <w:r>
        <w:rPr>
          <w:spacing w:val="14"/>
        </w:rPr>
        <w:t>第 </w:t>
      </w:r>
      <w:r>
        <w:rPr/>
        <w:t>16</w:t>
      </w:r>
      <w:r>
        <w:rPr>
          <w:spacing w:val="6"/>
        </w:rPr>
        <w:t> 條</w:t>
      </w:r>
    </w:p>
    <w:p>
      <w:pPr>
        <w:pStyle w:val="BodyText"/>
        <w:spacing w:line="244" w:lineRule="auto" w:before="59"/>
        <w:ind w:left="763" w:right="164"/>
      </w:pPr>
      <w:r>
        <w:rPr/>
        <w:br w:type="column"/>
      </w:r>
      <w:r>
        <w:rPr>
          <w:spacing w:val="11"/>
        </w:rPr>
        <w:t>公務機關對個人資料之蒐集或處理，除第六條第一項所規定資料外，應有特定目的，並符合下列情形之一者：</w:t>
      </w:r>
    </w:p>
    <w:p>
      <w:pPr>
        <w:pStyle w:val="BodyText"/>
        <w:spacing w:line="336" w:lineRule="auto" w:before="116"/>
        <w:ind w:left="763" w:right="4211"/>
      </w:pPr>
      <w:r>
        <w:rPr>
          <w:spacing w:val="11"/>
        </w:rPr>
        <w:t>一、執行法定職務必要範圍內。</w:t>
      </w:r>
      <w:r>
        <w:rPr>
          <w:spacing w:val="10"/>
        </w:rPr>
        <w:t>二、經當事人同意。</w:t>
      </w:r>
    </w:p>
    <w:p>
      <w:pPr>
        <w:pStyle w:val="BodyText"/>
        <w:spacing w:before="2"/>
        <w:ind w:left="763"/>
      </w:pPr>
      <w:r>
        <w:rPr>
          <w:spacing w:val="12"/>
        </w:rPr>
        <w:t>三、對當事人權益無侵害。</w:t>
      </w:r>
    </w:p>
    <w:p>
      <w:pPr>
        <w:pStyle w:val="BodyText"/>
        <w:spacing w:before="12"/>
        <w:rPr>
          <w:sz w:val="25"/>
        </w:rPr>
      </w:pPr>
    </w:p>
    <w:p>
      <w:pPr>
        <w:pStyle w:val="BodyText"/>
        <w:spacing w:line="249" w:lineRule="auto"/>
        <w:ind w:left="763" w:right="164"/>
        <w:jc w:val="both"/>
      </w:pPr>
      <w:r>
        <w:rPr>
          <w:spacing w:val="11"/>
        </w:rPr>
        <w:t>公務機關對個人資料之利用，除第六條第一項所規定資料外，應於執行法定職務必要範圍內為之，並與蒐集之特定目的相符。但有下列情形之一者，得為特定目的外之利用：</w:t>
      </w:r>
    </w:p>
    <w:p>
      <w:pPr>
        <w:pStyle w:val="BodyText"/>
        <w:spacing w:before="111"/>
        <w:ind w:left="763"/>
        <w:jc w:val="both"/>
      </w:pPr>
      <w:r>
        <w:rPr>
          <w:spacing w:val="11"/>
        </w:rPr>
        <w:t>一、法律明文規定。</w:t>
      </w:r>
    </w:p>
    <w:p>
      <w:pPr>
        <w:pStyle w:val="BodyText"/>
        <w:spacing w:before="124"/>
        <w:ind w:left="763"/>
        <w:jc w:val="both"/>
      </w:pPr>
      <w:r>
        <w:rPr>
          <w:spacing w:val="12"/>
        </w:rPr>
        <w:t>二、為維護國家安全或增進公共利益所必要。</w:t>
      </w:r>
    </w:p>
    <w:p>
      <w:pPr>
        <w:pStyle w:val="BodyText"/>
        <w:spacing w:line="336" w:lineRule="auto" w:before="124"/>
        <w:ind w:left="763" w:right="1593"/>
        <w:jc w:val="both"/>
      </w:pPr>
      <w:r>
        <w:rPr>
          <w:spacing w:val="11"/>
        </w:rPr>
        <w:t>三、為免除當事人之生命、身體、自由或財產上之危險。四、為防止他人權益之重大危害。</w:t>
      </w:r>
    </w:p>
    <w:p>
      <w:pPr>
        <w:pStyle w:val="BodyText"/>
        <w:spacing w:line="249" w:lineRule="auto" w:before="1"/>
        <w:ind w:left="1210" w:right="194" w:hanging="447"/>
      </w:pPr>
      <w:r>
        <w:rPr>
          <w:spacing w:val="11"/>
        </w:rPr>
        <w:t>五、公務機關或學術研究機構基於公共利益為統計或學術研究而有必</w:t>
      </w:r>
      <w:r>
        <w:rPr>
          <w:spacing w:val="80"/>
          <w:w w:val="150"/>
        </w:rPr>
        <w:t> </w:t>
      </w:r>
      <w:r>
        <w:rPr>
          <w:spacing w:val="11"/>
        </w:rPr>
        <w:t>要，且資料經過提供者處理後或經蒐集者依其揭露方式無從識別特</w:t>
      </w:r>
      <w:r>
        <w:rPr>
          <w:spacing w:val="10"/>
        </w:rPr>
        <w:t>定之當事人。</w:t>
      </w:r>
    </w:p>
    <w:p>
      <w:pPr>
        <w:pStyle w:val="BodyText"/>
        <w:spacing w:line="324" w:lineRule="auto" w:before="112"/>
        <w:ind w:left="763" w:right="4925"/>
      </w:pPr>
      <w:r>
        <w:rPr>
          <w:spacing w:val="10"/>
        </w:rPr>
        <w:t>六、有利於當事人權益。七、經當事人同意。</w:t>
      </w:r>
    </w:p>
    <w:p>
      <w:pPr>
        <w:spacing w:after="0" w:line="324" w:lineRule="auto"/>
        <w:sectPr>
          <w:type w:val="continuous"/>
          <w:pgSz w:w="11900" w:h="16840"/>
          <w:pgMar w:top="760" w:bottom="280" w:left="820" w:right="760"/>
          <w:cols w:num="2" w:equalWidth="0">
            <w:col w:w="1985" w:space="40"/>
            <w:col w:w="8295"/>
          </w:cols>
        </w:sectPr>
      </w:pPr>
    </w:p>
    <w:p>
      <w:pPr>
        <w:pStyle w:val="BodyText"/>
        <w:spacing w:before="73"/>
        <w:ind w:left="1047"/>
      </w:pPr>
      <w:r>
        <w:rPr>
          <w:spacing w:val="14"/>
        </w:rPr>
        <w:t>第 </w:t>
      </w:r>
      <w:r>
        <w:rPr/>
        <w:t>17</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7"/>
        </w:rPr>
      </w:pPr>
    </w:p>
    <w:p>
      <w:pPr>
        <w:pStyle w:val="BodyText"/>
        <w:ind w:left="1047"/>
      </w:pPr>
      <w:r>
        <w:rPr>
          <w:spacing w:val="14"/>
        </w:rPr>
        <w:t>第 </w:t>
      </w:r>
      <w:r>
        <w:rPr/>
        <w:t>18</w:t>
      </w:r>
      <w:r>
        <w:rPr>
          <w:spacing w:val="6"/>
        </w:rPr>
        <w:t> 條</w:t>
      </w:r>
    </w:p>
    <w:p>
      <w:pPr>
        <w:pStyle w:val="BodyText"/>
        <w:spacing w:line="244" w:lineRule="auto" w:before="43"/>
        <w:ind w:left="763" w:right="402"/>
      </w:pPr>
      <w:r>
        <w:rPr/>
        <w:br w:type="column"/>
      </w:r>
      <w:r>
        <w:rPr>
          <w:spacing w:val="11"/>
        </w:rPr>
        <w:t>公務機關應將下列事項公開於電腦網站，或以其他適當方式供公眾查</w:t>
      </w:r>
      <w:r>
        <w:rPr>
          <w:spacing w:val="10"/>
        </w:rPr>
        <w:t>閱；其有變更者，亦同：</w:t>
      </w:r>
    </w:p>
    <w:p>
      <w:pPr>
        <w:pStyle w:val="BodyText"/>
        <w:spacing w:before="117"/>
        <w:ind w:left="763"/>
      </w:pPr>
      <w:r>
        <w:rPr>
          <w:spacing w:val="11"/>
        </w:rPr>
        <w:t>一、個人資料檔案名稱。</w:t>
      </w:r>
    </w:p>
    <w:p>
      <w:pPr>
        <w:pStyle w:val="BodyText"/>
        <w:spacing w:before="124"/>
        <w:ind w:left="763"/>
      </w:pPr>
      <w:r>
        <w:rPr>
          <w:spacing w:val="12"/>
        </w:rPr>
        <w:t>二、保有機關名稱及聯絡方式。</w:t>
      </w:r>
    </w:p>
    <w:p>
      <w:pPr>
        <w:pStyle w:val="BodyText"/>
        <w:spacing w:line="336" w:lineRule="auto" w:before="123"/>
        <w:ind w:left="763" w:right="3021"/>
      </w:pPr>
      <w:r>
        <w:rPr>
          <w:spacing w:val="11"/>
        </w:rPr>
        <w:t>三、個人資料檔案保有之依據及特定目的。</w:t>
      </w:r>
      <w:r>
        <w:rPr>
          <w:spacing w:val="10"/>
        </w:rPr>
        <w:t>四、個人資料之類別。</w:t>
      </w:r>
    </w:p>
    <w:p>
      <w:pPr>
        <w:pStyle w:val="BodyText"/>
        <w:spacing w:before="2"/>
        <w:rPr>
          <w:sz w:val="17"/>
        </w:rPr>
      </w:pPr>
    </w:p>
    <w:p>
      <w:pPr>
        <w:pStyle w:val="BodyText"/>
        <w:spacing w:line="254" w:lineRule="auto"/>
        <w:ind w:left="763" w:right="164"/>
      </w:pPr>
      <w:r>
        <w:rPr>
          <w:spacing w:val="11"/>
        </w:rPr>
        <w:t>公務機關保有個人資料檔案者，應指定專人辦理安全維護事項，防止個人資料被竊取、竄改、毀損、滅失或洩漏。</w:t>
      </w:r>
    </w:p>
    <w:p>
      <w:pPr>
        <w:spacing w:after="0" w:line="254" w:lineRule="auto"/>
        <w:sectPr>
          <w:pgSz w:w="11900" w:h="16840"/>
          <w:pgMar w:top="840" w:bottom="280" w:left="820" w:right="760"/>
          <w:cols w:num="2" w:equalWidth="0">
            <w:col w:w="1985" w:space="40"/>
            <w:col w:w="8295"/>
          </w:cols>
        </w:sectPr>
      </w:pPr>
    </w:p>
    <w:p>
      <w:pPr>
        <w:pStyle w:val="BodyText"/>
        <w:spacing w:before="5"/>
        <w:rPr>
          <w:sz w:val="19"/>
        </w:rPr>
      </w:pPr>
    </w:p>
    <w:p>
      <w:pPr>
        <w:pStyle w:val="BodyText"/>
        <w:spacing w:before="59"/>
        <w:ind w:left="778"/>
      </w:pPr>
      <w:r>
        <w:rPr>
          <w:spacing w:val="27"/>
        </w:rPr>
        <w:t>第 三 章 非公務機關對個人資料之蒐集、處理及利用</w:t>
      </w:r>
    </w:p>
    <w:p>
      <w:pPr>
        <w:pStyle w:val="BodyText"/>
        <w:spacing w:before="1"/>
        <w:rPr>
          <w:sz w:val="12"/>
        </w:rPr>
      </w:pPr>
    </w:p>
    <w:p>
      <w:pPr>
        <w:spacing w:after="0"/>
        <w:rPr>
          <w:sz w:val="12"/>
        </w:rPr>
        <w:sectPr>
          <w:type w:val="continuous"/>
          <w:pgSz w:w="11900" w:h="16840"/>
          <w:pgMar w:top="760" w:bottom="280" w:left="820" w:right="760"/>
        </w:sectPr>
      </w:pPr>
    </w:p>
    <w:p>
      <w:pPr>
        <w:pStyle w:val="BodyText"/>
        <w:spacing w:before="89"/>
        <w:ind w:left="1047"/>
      </w:pPr>
      <w:r>
        <w:rPr>
          <w:spacing w:val="14"/>
        </w:rPr>
        <w:t>第 </w:t>
      </w:r>
      <w:r>
        <w:rPr/>
        <w:t>19</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1"/>
        </w:rPr>
      </w:pPr>
    </w:p>
    <w:p>
      <w:pPr>
        <w:pStyle w:val="BodyText"/>
        <w:ind w:left="1047"/>
      </w:pPr>
      <w:r>
        <w:rPr>
          <w:spacing w:val="14"/>
        </w:rPr>
        <w:t>第 </w:t>
      </w:r>
      <w:r>
        <w:rPr/>
        <w:t>20</w:t>
      </w:r>
      <w:r>
        <w:rPr>
          <w:spacing w:val="6"/>
        </w:rPr>
        <w:t> 條</w:t>
      </w:r>
    </w:p>
    <w:p>
      <w:pPr>
        <w:pStyle w:val="ListParagraph"/>
        <w:numPr>
          <w:ilvl w:val="0"/>
          <w:numId w:val="5"/>
        </w:numPr>
        <w:tabs>
          <w:tab w:pos="764" w:val="left" w:leader="none"/>
        </w:tabs>
        <w:spacing w:line="240" w:lineRule="auto" w:before="64" w:after="0"/>
        <w:ind w:left="763" w:right="164" w:hanging="369"/>
        <w:jc w:val="left"/>
        <w:rPr>
          <w:sz w:val="22"/>
        </w:rPr>
      </w:pPr>
      <w:r>
        <w:rPr/>
        <w:br w:type="column"/>
      </w:r>
      <w:r>
        <w:rPr>
          <w:spacing w:val="11"/>
          <w:position w:val="1"/>
          <w:sz w:val="22"/>
        </w:rPr>
        <w:t>非公務機關對個人資料之蒐集或處理，除第六條第一項所規定資料外，</w:t>
      </w:r>
      <w:r>
        <w:rPr>
          <w:spacing w:val="11"/>
          <w:sz w:val="22"/>
        </w:rPr>
        <w:t>應有特定目的，並符合下列情形之一者：</w:t>
      </w:r>
    </w:p>
    <w:p>
      <w:pPr>
        <w:pStyle w:val="BodyText"/>
        <w:spacing w:before="124"/>
        <w:ind w:left="763"/>
      </w:pPr>
      <w:r>
        <w:rPr>
          <w:spacing w:val="11"/>
        </w:rPr>
        <w:t>一、法律明文規定。</w:t>
      </w:r>
    </w:p>
    <w:p>
      <w:pPr>
        <w:pStyle w:val="BodyText"/>
        <w:spacing w:line="336" w:lineRule="auto" w:before="124"/>
        <w:ind w:left="763" w:right="402"/>
      </w:pPr>
      <w:r>
        <w:rPr>
          <w:spacing w:val="11"/>
        </w:rPr>
        <w:t>二、與當事人有契約或類似契約之關係，且已採取適當之安全措施。三、當事人自行公開或其他已合法公開之個人資料。</w:t>
      </w:r>
    </w:p>
    <w:p>
      <w:pPr>
        <w:pStyle w:val="BodyText"/>
        <w:spacing w:line="254" w:lineRule="auto" w:before="1"/>
        <w:ind w:left="1210" w:right="164" w:hanging="447"/>
      </w:pPr>
      <w:r>
        <w:rPr>
          <w:spacing w:val="11"/>
        </w:rPr>
        <w:t>四、學術研究機構基於公共利益為統計或學術研究而有必要，且資料經</w:t>
      </w:r>
      <w:r>
        <w:rPr>
          <w:spacing w:val="13"/>
        </w:rPr>
        <w:t>過提供者處理後或經蒐集者依其揭露方式無從識別特定之當事人。</w:t>
      </w:r>
    </w:p>
    <w:p>
      <w:pPr>
        <w:pStyle w:val="BodyText"/>
        <w:spacing w:before="107"/>
        <w:ind w:left="763"/>
      </w:pPr>
      <w:r>
        <w:rPr>
          <w:spacing w:val="11"/>
        </w:rPr>
        <w:t>五、經當事人同意。</w:t>
      </w:r>
    </w:p>
    <w:p>
      <w:pPr>
        <w:pStyle w:val="BodyText"/>
        <w:spacing w:before="123"/>
        <w:ind w:left="763"/>
      </w:pPr>
      <w:r>
        <w:rPr>
          <w:spacing w:val="12"/>
        </w:rPr>
        <w:t>六、為增進公共利益所必要。</w:t>
      </w:r>
    </w:p>
    <w:p>
      <w:pPr>
        <w:pStyle w:val="BodyText"/>
        <w:spacing w:line="254" w:lineRule="auto" w:before="109"/>
        <w:ind w:left="1210" w:right="164" w:hanging="447"/>
      </w:pPr>
      <w:r>
        <w:rPr>
          <w:spacing w:val="11"/>
        </w:rPr>
        <w:t>七、個人資料取自於一般可得之來源。但當事人對該資料之禁止處理或利用，顯有更值得保護之重大利益者，不在此限。</w:t>
      </w:r>
    </w:p>
    <w:p>
      <w:pPr>
        <w:pStyle w:val="BodyText"/>
        <w:spacing w:before="107"/>
        <w:ind w:left="763"/>
      </w:pPr>
      <w:r>
        <w:rPr>
          <w:spacing w:val="12"/>
        </w:rPr>
        <w:t>八、對當事人權益無侵害。</w:t>
      </w:r>
    </w:p>
    <w:p>
      <w:pPr>
        <w:pStyle w:val="ListParagraph"/>
        <w:numPr>
          <w:ilvl w:val="0"/>
          <w:numId w:val="5"/>
        </w:numPr>
        <w:tabs>
          <w:tab w:pos="764" w:val="left" w:leader="none"/>
        </w:tabs>
        <w:spacing w:line="247" w:lineRule="auto" w:before="129" w:after="0"/>
        <w:ind w:left="763" w:right="164" w:hanging="369"/>
        <w:jc w:val="both"/>
        <w:rPr>
          <w:sz w:val="22"/>
        </w:rPr>
      </w:pPr>
      <w:r>
        <w:rPr>
          <w:spacing w:val="11"/>
          <w:position w:val="1"/>
          <w:sz w:val="22"/>
        </w:rPr>
        <w:t>蒐集或處理者知悉或經當事人通知依前項第七款但書規定禁止對該資料</w:t>
      </w:r>
      <w:r>
        <w:rPr>
          <w:spacing w:val="11"/>
          <w:sz w:val="22"/>
        </w:rPr>
        <w:t>之處理或利用時，應主動或依當事人之請求，刪除、停止處理或利用該</w:t>
      </w:r>
      <w:r>
        <w:rPr>
          <w:spacing w:val="8"/>
          <w:sz w:val="22"/>
        </w:rPr>
        <w:t>個人資料。</w:t>
      </w:r>
    </w:p>
    <w:p>
      <w:pPr>
        <w:pStyle w:val="BodyText"/>
        <w:spacing w:before="8"/>
        <w:rPr>
          <w:sz w:val="25"/>
        </w:rPr>
      </w:pPr>
    </w:p>
    <w:p>
      <w:pPr>
        <w:pStyle w:val="ListParagraph"/>
        <w:numPr>
          <w:ilvl w:val="0"/>
          <w:numId w:val="6"/>
        </w:numPr>
        <w:tabs>
          <w:tab w:pos="764" w:val="left" w:leader="none"/>
        </w:tabs>
        <w:spacing w:line="242" w:lineRule="auto" w:before="1" w:after="0"/>
        <w:ind w:left="763" w:right="164" w:hanging="369"/>
        <w:jc w:val="both"/>
        <w:rPr>
          <w:sz w:val="22"/>
        </w:rPr>
      </w:pPr>
      <w:r>
        <w:rPr>
          <w:spacing w:val="11"/>
          <w:position w:val="1"/>
          <w:sz w:val="22"/>
        </w:rPr>
        <w:t>非公務機關對個人資料之利用，除第六條第一項所規定資料外，應於蒐</w:t>
      </w:r>
      <w:r>
        <w:rPr>
          <w:spacing w:val="11"/>
          <w:sz w:val="22"/>
        </w:rPr>
        <w:t>集之特定目的必要範圍內為之。但有下列情形之一者，得為特定目的外</w:t>
      </w:r>
      <w:r>
        <w:rPr>
          <w:spacing w:val="7"/>
          <w:sz w:val="22"/>
        </w:rPr>
        <w:t>之利用：</w:t>
      </w:r>
    </w:p>
    <w:p>
      <w:pPr>
        <w:pStyle w:val="BodyText"/>
        <w:spacing w:before="119"/>
        <w:ind w:left="763"/>
      </w:pPr>
      <w:r>
        <w:rPr>
          <w:spacing w:val="11"/>
        </w:rPr>
        <w:t>一、法律明文規定。</w:t>
      </w:r>
    </w:p>
    <w:p>
      <w:pPr>
        <w:pStyle w:val="BodyText"/>
        <w:spacing w:before="124"/>
        <w:ind w:left="763"/>
      </w:pPr>
      <w:r>
        <w:rPr>
          <w:spacing w:val="12"/>
        </w:rPr>
        <w:t>二、為增進公共利益所必要。</w:t>
      </w:r>
    </w:p>
    <w:p>
      <w:pPr>
        <w:pStyle w:val="BodyText"/>
        <w:spacing w:line="336" w:lineRule="auto" w:before="123"/>
        <w:ind w:left="763" w:right="1593"/>
      </w:pPr>
      <w:r>
        <w:rPr>
          <w:spacing w:val="11"/>
        </w:rPr>
        <w:t>三、為免除當事人之生命、身體、自由或財產上之危險。四、為防止他人權益之重大危害。</w:t>
      </w:r>
    </w:p>
    <w:p>
      <w:pPr>
        <w:pStyle w:val="BodyText"/>
        <w:spacing w:line="249" w:lineRule="auto" w:before="2"/>
        <w:ind w:left="1210" w:right="194" w:hanging="447"/>
      </w:pPr>
      <w:r>
        <w:rPr>
          <w:spacing w:val="11"/>
        </w:rPr>
        <w:t>五、公務機關或學術研究機構基於公共利益為統計或學術研究而有必</w:t>
      </w:r>
      <w:r>
        <w:rPr>
          <w:spacing w:val="80"/>
          <w:w w:val="150"/>
        </w:rPr>
        <w:t> </w:t>
      </w:r>
      <w:r>
        <w:rPr>
          <w:spacing w:val="11"/>
        </w:rPr>
        <w:t>要，且資料經過提供者處理後或經蒐集者依其揭露方式無從識別特</w:t>
      </w:r>
      <w:r>
        <w:rPr>
          <w:spacing w:val="10"/>
        </w:rPr>
        <w:t>定之當事人。</w:t>
      </w:r>
    </w:p>
    <w:p>
      <w:pPr>
        <w:pStyle w:val="BodyText"/>
        <w:spacing w:before="111"/>
        <w:ind w:left="763"/>
      </w:pPr>
      <w:r>
        <w:rPr>
          <w:spacing w:val="11"/>
        </w:rPr>
        <w:t>六、經當事人同意。</w:t>
      </w:r>
    </w:p>
    <w:p>
      <w:pPr>
        <w:pStyle w:val="BodyText"/>
        <w:spacing w:before="124"/>
        <w:ind w:left="763"/>
      </w:pPr>
      <w:r>
        <w:rPr>
          <w:spacing w:val="11"/>
        </w:rPr>
        <w:t>七、有利於當事人權益。</w:t>
      </w:r>
    </w:p>
    <w:p>
      <w:pPr>
        <w:spacing w:after="0"/>
        <w:sectPr>
          <w:type w:val="continuous"/>
          <w:pgSz w:w="11900" w:h="16840"/>
          <w:pgMar w:top="760" w:bottom="280" w:left="820" w:right="760"/>
          <w:cols w:num="2" w:equalWidth="0">
            <w:col w:w="1985" w:space="40"/>
            <w:col w:w="8295"/>
          </w:cols>
        </w:sectPr>
      </w:pPr>
    </w:p>
    <w:p>
      <w:pPr>
        <w:pStyle w:val="ListParagraph"/>
        <w:numPr>
          <w:ilvl w:val="0"/>
          <w:numId w:val="6"/>
        </w:numPr>
        <w:tabs>
          <w:tab w:pos="2788" w:val="left" w:leader="none"/>
        </w:tabs>
        <w:spacing w:line="240" w:lineRule="auto" w:before="49" w:after="0"/>
        <w:ind w:left="2787" w:right="164" w:hanging="369"/>
        <w:jc w:val="left"/>
        <w:rPr>
          <w:sz w:val="22"/>
        </w:rPr>
      </w:pPr>
      <w:r>
        <w:rPr>
          <w:spacing w:val="11"/>
          <w:position w:val="1"/>
          <w:sz w:val="22"/>
        </w:rPr>
        <w:t>非公務機關依前項規定利用個人資料行銷者，當事人表示拒絕接受行銷</w:t>
      </w:r>
      <w:r>
        <w:rPr>
          <w:spacing w:val="11"/>
          <w:sz w:val="22"/>
        </w:rPr>
        <w:t>時，應即停止利用其個人資料行銷。</w:t>
      </w:r>
    </w:p>
    <w:p>
      <w:pPr>
        <w:pStyle w:val="ListParagraph"/>
        <w:numPr>
          <w:ilvl w:val="0"/>
          <w:numId w:val="6"/>
        </w:numPr>
        <w:tabs>
          <w:tab w:pos="2788" w:val="left" w:leader="none"/>
        </w:tabs>
        <w:spacing w:line="252" w:lineRule="auto" w:before="129" w:after="0"/>
        <w:ind w:left="2787" w:right="164" w:hanging="369"/>
        <w:jc w:val="left"/>
        <w:rPr>
          <w:sz w:val="22"/>
        </w:rPr>
      </w:pPr>
      <w:r>
        <w:rPr>
          <w:spacing w:val="11"/>
          <w:position w:val="1"/>
          <w:sz w:val="22"/>
        </w:rPr>
        <w:t>非公務機關於首次行銷時，應提供當事人表示拒絕接受行銷之方式，並</w:t>
      </w:r>
      <w:r>
        <w:rPr>
          <w:spacing w:val="10"/>
          <w:sz w:val="22"/>
        </w:rPr>
        <w:t>支付所需費用。</w:t>
      </w:r>
    </w:p>
    <w:p>
      <w:pPr>
        <w:pStyle w:val="BodyText"/>
        <w:spacing w:before="3"/>
        <w:rPr>
          <w:sz w:val="15"/>
        </w:rPr>
      </w:pPr>
    </w:p>
    <w:p>
      <w:pPr>
        <w:spacing w:after="0"/>
        <w:rPr>
          <w:sz w:val="15"/>
        </w:rPr>
        <w:sectPr>
          <w:pgSz w:w="11900" w:h="16840"/>
          <w:pgMar w:top="720" w:bottom="280" w:left="820" w:right="760"/>
        </w:sectPr>
      </w:pPr>
    </w:p>
    <w:p>
      <w:pPr>
        <w:pStyle w:val="BodyText"/>
        <w:spacing w:before="88"/>
        <w:ind w:left="1047"/>
      </w:pPr>
      <w:r>
        <w:rPr>
          <w:spacing w:val="14"/>
        </w:rPr>
        <w:t>第 </w:t>
      </w:r>
      <w:r>
        <w:rPr/>
        <w:t>21</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8"/>
        </w:rPr>
      </w:pPr>
    </w:p>
    <w:p>
      <w:pPr>
        <w:pStyle w:val="BodyText"/>
        <w:ind w:left="1047"/>
      </w:pPr>
      <w:r>
        <w:rPr>
          <w:spacing w:val="14"/>
        </w:rPr>
        <w:t>第 </w:t>
      </w:r>
      <w:r>
        <w:rPr/>
        <w:t>22</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4"/>
        </w:rPr>
      </w:pPr>
    </w:p>
    <w:p>
      <w:pPr>
        <w:pStyle w:val="BodyText"/>
        <w:ind w:left="1047"/>
      </w:pPr>
      <w:r>
        <w:rPr>
          <w:spacing w:val="14"/>
        </w:rPr>
        <w:t>第 </w:t>
      </w:r>
      <w:r>
        <w:rPr/>
        <w:t>23</w:t>
      </w:r>
      <w:r>
        <w:rPr>
          <w:spacing w:val="6"/>
        </w:rPr>
        <w:t> 條</w:t>
      </w:r>
    </w:p>
    <w:p>
      <w:pPr>
        <w:pStyle w:val="BodyText"/>
      </w:pPr>
    </w:p>
    <w:p>
      <w:pPr>
        <w:pStyle w:val="BodyText"/>
      </w:pPr>
    </w:p>
    <w:p>
      <w:pPr>
        <w:pStyle w:val="BodyText"/>
      </w:pPr>
    </w:p>
    <w:p>
      <w:pPr>
        <w:pStyle w:val="BodyText"/>
      </w:pPr>
    </w:p>
    <w:p>
      <w:pPr>
        <w:pStyle w:val="BodyText"/>
      </w:pPr>
    </w:p>
    <w:p>
      <w:pPr>
        <w:pStyle w:val="BodyText"/>
        <w:spacing w:before="12"/>
        <w:rPr>
          <w:sz w:val="14"/>
        </w:rPr>
      </w:pPr>
    </w:p>
    <w:p>
      <w:pPr>
        <w:pStyle w:val="BodyText"/>
        <w:ind w:left="1047"/>
      </w:pPr>
      <w:r>
        <w:rPr>
          <w:spacing w:val="14"/>
        </w:rPr>
        <w:t>第 </w:t>
      </w:r>
      <w:r>
        <w:rPr/>
        <w:t>24</w:t>
      </w:r>
      <w:r>
        <w:rPr>
          <w:spacing w:val="6"/>
        </w:rPr>
        <w:t> 條</w:t>
      </w:r>
    </w:p>
    <w:p>
      <w:pPr>
        <w:pStyle w:val="BodyText"/>
        <w:spacing w:line="244" w:lineRule="auto" w:before="59"/>
        <w:ind w:left="763" w:right="164"/>
      </w:pPr>
      <w:r>
        <w:rPr/>
        <w:br w:type="column"/>
      </w:r>
      <w:r>
        <w:rPr>
          <w:spacing w:val="11"/>
        </w:rPr>
        <w:t>非公務機關為國際傳輸個人資料，而有下列情形之一者，中央目的事業</w:t>
      </w:r>
      <w:r>
        <w:rPr>
          <w:spacing w:val="10"/>
        </w:rPr>
        <w:t>主管機關得限制之：</w:t>
      </w:r>
    </w:p>
    <w:p>
      <w:pPr>
        <w:pStyle w:val="BodyText"/>
        <w:spacing w:before="116"/>
        <w:ind w:left="763"/>
      </w:pPr>
      <w:r>
        <w:rPr>
          <w:spacing w:val="11"/>
        </w:rPr>
        <w:t>一、涉及國家重大利益。</w:t>
      </w:r>
    </w:p>
    <w:p>
      <w:pPr>
        <w:pStyle w:val="BodyText"/>
        <w:spacing w:before="124"/>
        <w:ind w:left="763"/>
      </w:pPr>
      <w:r>
        <w:rPr>
          <w:spacing w:val="12"/>
        </w:rPr>
        <w:t>二、國際條約或協定有特別規定。</w:t>
      </w:r>
    </w:p>
    <w:p>
      <w:pPr>
        <w:pStyle w:val="BodyText"/>
        <w:spacing w:line="244" w:lineRule="auto" w:before="123"/>
        <w:ind w:left="1210" w:right="164" w:hanging="447"/>
      </w:pPr>
      <w:r>
        <w:rPr>
          <w:spacing w:val="11"/>
        </w:rPr>
        <w:t>三、接受國對於個人資料之保護未有完善之法規，致有損當事人權益之</w:t>
      </w:r>
      <w:r>
        <w:rPr>
          <w:spacing w:val="2"/>
        </w:rPr>
        <w:t>虞。</w:t>
      </w:r>
    </w:p>
    <w:p>
      <w:pPr>
        <w:pStyle w:val="BodyText"/>
        <w:spacing w:before="117"/>
        <w:ind w:left="763"/>
      </w:pPr>
      <w:r>
        <w:rPr>
          <w:spacing w:val="14"/>
        </w:rPr>
        <w:t>四、以迂迴方法向第三國（地區）</w:t>
      </w:r>
      <w:r>
        <w:rPr>
          <w:spacing w:val="11"/>
        </w:rPr>
        <w:t>傳輸個人資料規避本法。</w:t>
      </w:r>
    </w:p>
    <w:p>
      <w:pPr>
        <w:pStyle w:val="BodyText"/>
        <w:spacing w:before="3"/>
        <w:rPr>
          <w:sz w:val="26"/>
        </w:rPr>
      </w:pPr>
    </w:p>
    <w:p>
      <w:pPr>
        <w:pStyle w:val="ListParagraph"/>
        <w:numPr>
          <w:ilvl w:val="0"/>
          <w:numId w:val="7"/>
        </w:numPr>
        <w:tabs>
          <w:tab w:pos="764" w:val="left" w:leader="none"/>
        </w:tabs>
        <w:spacing w:line="247" w:lineRule="auto" w:before="0" w:after="0"/>
        <w:ind w:left="763" w:right="164" w:hanging="369"/>
        <w:jc w:val="both"/>
        <w:rPr>
          <w:sz w:val="22"/>
        </w:rPr>
      </w:pPr>
      <w:r>
        <w:rPr>
          <w:spacing w:val="12"/>
          <w:position w:val="1"/>
          <w:sz w:val="22"/>
        </w:rPr>
        <w:t>中央目的事業主管機關或直轄市、縣（市）</w:t>
      </w:r>
      <w:r>
        <w:rPr>
          <w:spacing w:val="10"/>
          <w:position w:val="1"/>
          <w:sz w:val="22"/>
        </w:rPr>
        <w:t>政府為執行資料檔案安全維</w:t>
      </w:r>
      <w:r>
        <w:rPr>
          <w:spacing w:val="11"/>
          <w:sz w:val="22"/>
        </w:rPr>
        <w:t>護、業務終止資料處理方法、國際傳輸限制或其他例行性業務檢查而認有必要或有違反本法規定之虞時，得派員攜帶執行職務證明文件，進入檢查，並得命相關人員為必要之說明、配合措施或提供相關證明資料。</w:t>
      </w:r>
    </w:p>
    <w:p>
      <w:pPr>
        <w:pStyle w:val="ListParagraph"/>
        <w:numPr>
          <w:ilvl w:val="0"/>
          <w:numId w:val="7"/>
        </w:numPr>
        <w:tabs>
          <w:tab w:pos="764" w:val="left" w:leader="none"/>
        </w:tabs>
        <w:spacing w:line="249" w:lineRule="auto" w:before="116" w:after="0"/>
        <w:ind w:left="763" w:right="164" w:hanging="369"/>
        <w:jc w:val="both"/>
        <w:rPr>
          <w:sz w:val="22"/>
        </w:rPr>
      </w:pPr>
      <w:r>
        <w:rPr>
          <w:spacing w:val="12"/>
          <w:position w:val="1"/>
          <w:sz w:val="22"/>
        </w:rPr>
        <w:t>中央目的事業主管機關或直轄市、縣（市）</w:t>
      </w:r>
      <w:r>
        <w:rPr>
          <w:spacing w:val="10"/>
          <w:position w:val="1"/>
          <w:sz w:val="22"/>
        </w:rPr>
        <w:t>政府為前項檢查時，對於得</w:t>
      </w:r>
      <w:r>
        <w:rPr>
          <w:spacing w:val="11"/>
          <w:sz w:val="22"/>
        </w:rPr>
        <w:t>沒入或可為證據之個人資料或其檔案，得扣留或複製之。對於應扣留或複製之物，得要求其所有人、持有人或保管人提出或交付；無正當理由拒絕提出、交付或抗拒扣留或複製者，得採取對該非公務機關權益損害</w:t>
      </w:r>
      <w:r>
        <w:rPr>
          <w:spacing w:val="10"/>
          <w:sz w:val="22"/>
        </w:rPr>
        <w:t>最少之方法強制為之。</w:t>
      </w:r>
    </w:p>
    <w:p>
      <w:pPr>
        <w:pStyle w:val="ListParagraph"/>
        <w:numPr>
          <w:ilvl w:val="0"/>
          <w:numId w:val="7"/>
        </w:numPr>
        <w:tabs>
          <w:tab w:pos="764" w:val="left" w:leader="none"/>
        </w:tabs>
        <w:spacing w:line="252" w:lineRule="auto" w:before="111" w:after="0"/>
        <w:ind w:left="763" w:right="164" w:hanging="369"/>
        <w:jc w:val="both"/>
        <w:rPr>
          <w:sz w:val="22"/>
        </w:rPr>
      </w:pPr>
      <w:r>
        <w:rPr>
          <w:spacing w:val="12"/>
          <w:position w:val="1"/>
          <w:sz w:val="22"/>
        </w:rPr>
        <w:t>中央目的事業主管機關或直轄市、縣（市）</w:t>
      </w:r>
      <w:r>
        <w:rPr>
          <w:spacing w:val="10"/>
          <w:position w:val="1"/>
          <w:sz w:val="22"/>
        </w:rPr>
        <w:t>政府為第一項檢查時，得率</w:t>
      </w:r>
      <w:r>
        <w:rPr>
          <w:spacing w:val="11"/>
          <w:sz w:val="22"/>
        </w:rPr>
        <w:t>同資訊、電信或法律等專業人員共同為之。</w:t>
      </w:r>
    </w:p>
    <w:p>
      <w:pPr>
        <w:pStyle w:val="ListParagraph"/>
        <w:numPr>
          <w:ilvl w:val="0"/>
          <w:numId w:val="7"/>
        </w:numPr>
        <w:tabs>
          <w:tab w:pos="764" w:val="left" w:leader="none"/>
        </w:tabs>
        <w:spacing w:line="252" w:lineRule="auto" w:before="98" w:after="0"/>
        <w:ind w:left="763" w:right="164" w:hanging="369"/>
        <w:jc w:val="both"/>
        <w:rPr>
          <w:sz w:val="22"/>
        </w:rPr>
      </w:pPr>
      <w:r>
        <w:rPr>
          <w:spacing w:val="11"/>
          <w:position w:val="1"/>
          <w:sz w:val="22"/>
        </w:rPr>
        <w:t>對於第一項及第二項之進入、檢查或處分，非公務機關及其相關人員不</w:t>
      </w:r>
      <w:r>
        <w:rPr>
          <w:spacing w:val="10"/>
          <w:sz w:val="22"/>
        </w:rPr>
        <w:t>得規避、妨礙或拒絕。</w:t>
      </w:r>
    </w:p>
    <w:p>
      <w:pPr>
        <w:pStyle w:val="ListParagraph"/>
        <w:numPr>
          <w:ilvl w:val="0"/>
          <w:numId w:val="7"/>
        </w:numPr>
        <w:tabs>
          <w:tab w:pos="764" w:val="left" w:leader="none"/>
        </w:tabs>
        <w:spacing w:line="240" w:lineRule="auto" w:before="113" w:after="0"/>
        <w:ind w:left="763" w:right="0" w:hanging="369"/>
        <w:jc w:val="both"/>
        <w:rPr>
          <w:sz w:val="22"/>
        </w:rPr>
      </w:pPr>
      <w:r>
        <w:rPr>
          <w:spacing w:val="13"/>
          <w:position w:val="1"/>
          <w:sz w:val="22"/>
        </w:rPr>
        <w:t>參與檢查之人員，因檢查而知悉他人資料者，負保密義務。</w:t>
      </w:r>
    </w:p>
    <w:p>
      <w:pPr>
        <w:pStyle w:val="BodyText"/>
        <w:spacing w:before="12"/>
        <w:rPr>
          <w:sz w:val="25"/>
        </w:rPr>
      </w:pPr>
    </w:p>
    <w:p>
      <w:pPr>
        <w:pStyle w:val="ListParagraph"/>
        <w:numPr>
          <w:ilvl w:val="0"/>
          <w:numId w:val="8"/>
        </w:numPr>
        <w:tabs>
          <w:tab w:pos="764" w:val="left" w:leader="none"/>
        </w:tabs>
        <w:spacing w:line="247" w:lineRule="auto" w:before="0" w:after="0"/>
        <w:ind w:left="763" w:right="164" w:hanging="369"/>
        <w:jc w:val="both"/>
        <w:rPr>
          <w:sz w:val="22"/>
        </w:rPr>
      </w:pPr>
      <w:r>
        <w:rPr>
          <w:spacing w:val="11"/>
          <w:position w:val="1"/>
          <w:sz w:val="22"/>
        </w:rPr>
        <w:t>對於前條第二項扣留物或複製物，應加封緘或其他標識，並為適當之處</w:t>
      </w:r>
      <w:r>
        <w:rPr>
          <w:spacing w:val="11"/>
          <w:sz w:val="22"/>
        </w:rPr>
        <w:t>置；其不便搬運或保管者，得命人看守或交由所有人或其他適當之人保</w:t>
      </w:r>
      <w:r>
        <w:rPr>
          <w:spacing w:val="2"/>
          <w:sz w:val="22"/>
        </w:rPr>
        <w:t>管。</w:t>
      </w:r>
    </w:p>
    <w:p>
      <w:pPr>
        <w:pStyle w:val="ListParagraph"/>
        <w:numPr>
          <w:ilvl w:val="0"/>
          <w:numId w:val="8"/>
        </w:numPr>
        <w:tabs>
          <w:tab w:pos="764" w:val="left" w:leader="none"/>
        </w:tabs>
        <w:spacing w:line="240" w:lineRule="auto" w:before="120" w:after="0"/>
        <w:ind w:left="763" w:right="402" w:hanging="369"/>
        <w:jc w:val="both"/>
        <w:rPr>
          <w:sz w:val="22"/>
        </w:rPr>
      </w:pPr>
      <w:r>
        <w:rPr>
          <w:spacing w:val="11"/>
          <w:position w:val="1"/>
          <w:sz w:val="22"/>
        </w:rPr>
        <w:t>扣留物或複製物已無留存之必要，或決定不予處罰或未為沒入之裁處</w:t>
      </w:r>
      <w:r>
        <w:rPr>
          <w:spacing w:val="11"/>
          <w:sz w:val="22"/>
        </w:rPr>
        <w:t>者，應發還之。但應沒入或為調查他案應留存者，不在此限。</w:t>
      </w:r>
    </w:p>
    <w:p>
      <w:pPr>
        <w:pStyle w:val="BodyText"/>
        <w:spacing w:before="3"/>
        <w:rPr>
          <w:sz w:val="26"/>
        </w:rPr>
      </w:pPr>
    </w:p>
    <w:p>
      <w:pPr>
        <w:pStyle w:val="ListParagraph"/>
        <w:numPr>
          <w:ilvl w:val="0"/>
          <w:numId w:val="9"/>
        </w:numPr>
        <w:tabs>
          <w:tab w:pos="764" w:val="left" w:leader="none"/>
        </w:tabs>
        <w:spacing w:line="247" w:lineRule="auto" w:before="0" w:after="0"/>
        <w:ind w:left="763" w:right="164" w:hanging="369"/>
        <w:jc w:val="both"/>
        <w:rPr>
          <w:sz w:val="22"/>
        </w:rPr>
      </w:pPr>
      <w:r>
        <w:rPr>
          <w:spacing w:val="11"/>
          <w:position w:val="1"/>
          <w:sz w:val="22"/>
        </w:rPr>
        <w:t>非公務機關、物之所有人、持有人、保管人或利害關係人對前二條之要</w:t>
      </w:r>
      <w:r>
        <w:rPr>
          <w:spacing w:val="11"/>
          <w:sz w:val="22"/>
        </w:rPr>
        <w:t>求、強制、扣留或複製行為不服者，得向中央目的事業主管機關或直轄</w:t>
      </w:r>
      <w:r>
        <w:rPr>
          <w:spacing w:val="12"/>
          <w:sz w:val="22"/>
        </w:rPr>
        <w:t>市、縣（市）</w:t>
      </w:r>
      <w:r>
        <w:rPr>
          <w:spacing w:val="10"/>
          <w:sz w:val="22"/>
        </w:rPr>
        <w:t>政府聲明異議。</w:t>
      </w:r>
    </w:p>
    <w:p>
      <w:pPr>
        <w:pStyle w:val="ListParagraph"/>
        <w:numPr>
          <w:ilvl w:val="0"/>
          <w:numId w:val="9"/>
        </w:numPr>
        <w:tabs>
          <w:tab w:pos="764" w:val="left" w:leader="none"/>
        </w:tabs>
        <w:spacing w:line="247" w:lineRule="auto" w:before="121" w:after="0"/>
        <w:ind w:left="763" w:right="164" w:hanging="369"/>
        <w:jc w:val="both"/>
        <w:rPr>
          <w:sz w:val="22"/>
        </w:rPr>
      </w:pPr>
      <w:r>
        <w:rPr>
          <w:spacing w:val="12"/>
          <w:position w:val="1"/>
          <w:sz w:val="22"/>
        </w:rPr>
        <w:t>前項聲明異議，中央目的事業主管機關或直轄市、縣（市）</w:t>
      </w:r>
      <w:r>
        <w:rPr>
          <w:spacing w:val="9"/>
          <w:position w:val="1"/>
          <w:sz w:val="22"/>
        </w:rPr>
        <w:t>政府認為有</w:t>
      </w:r>
      <w:r>
        <w:rPr>
          <w:spacing w:val="11"/>
          <w:sz w:val="22"/>
        </w:rPr>
        <w:t>理由者，應立即停止或變更其行為；認為無理由者，得繼續執行。經該聲明異議之人請求時，應將聲明異議之理由製作紀錄交付之。</w:t>
      </w:r>
    </w:p>
    <w:p>
      <w:pPr>
        <w:pStyle w:val="ListParagraph"/>
        <w:numPr>
          <w:ilvl w:val="0"/>
          <w:numId w:val="9"/>
        </w:numPr>
        <w:tabs>
          <w:tab w:pos="764" w:val="left" w:leader="none"/>
        </w:tabs>
        <w:spacing w:line="240" w:lineRule="auto" w:before="120" w:after="0"/>
        <w:ind w:left="763" w:right="164" w:hanging="369"/>
        <w:jc w:val="both"/>
        <w:rPr>
          <w:sz w:val="22"/>
        </w:rPr>
      </w:pPr>
      <w:r>
        <w:rPr>
          <w:spacing w:val="12"/>
          <w:position w:val="1"/>
          <w:sz w:val="22"/>
        </w:rPr>
        <w:t>對於中央目的事業主管機關或直轄市、縣（市）</w:t>
      </w:r>
      <w:r>
        <w:rPr>
          <w:spacing w:val="10"/>
          <w:position w:val="1"/>
          <w:sz w:val="22"/>
        </w:rPr>
        <w:t>政府前項決定不服者，</w:t>
      </w:r>
      <w:r>
        <w:rPr>
          <w:spacing w:val="11"/>
          <w:sz w:val="22"/>
        </w:rPr>
        <w:t>僅得於對該案件之實體決定聲明不服時一併聲明之。但第一項之人依法</w:t>
      </w:r>
    </w:p>
    <w:p>
      <w:pPr>
        <w:spacing w:after="0" w:line="240" w:lineRule="auto"/>
        <w:jc w:val="both"/>
        <w:rPr>
          <w:sz w:val="22"/>
        </w:rPr>
        <w:sectPr>
          <w:type w:val="continuous"/>
          <w:pgSz w:w="11900" w:h="16840"/>
          <w:pgMar w:top="760" w:bottom="280" w:left="820" w:right="760"/>
          <w:cols w:num="2" w:equalWidth="0">
            <w:col w:w="1985" w:space="40"/>
            <w:col w:w="8295"/>
          </w:cols>
        </w:sectPr>
      </w:pPr>
    </w:p>
    <w:p>
      <w:pPr>
        <w:pStyle w:val="BodyText"/>
        <w:rPr>
          <w:sz w:val="2"/>
        </w:rPr>
      </w:pPr>
    </w:p>
    <w:tbl>
      <w:tblPr>
        <w:tblW w:w="0" w:type="auto"/>
        <w:jc w:val="left"/>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
        <w:gridCol w:w="361"/>
        <w:gridCol w:w="504"/>
        <w:gridCol w:w="466"/>
        <w:gridCol w:w="7534"/>
      </w:tblGrid>
      <w:tr>
        <w:trPr>
          <w:trHeight w:val="706" w:hRule="atLeast"/>
        </w:trPr>
        <w:tc>
          <w:tcPr>
            <w:tcW w:w="1671" w:type="dxa"/>
            <w:gridSpan w:val="4"/>
          </w:tcPr>
          <w:p>
            <w:pPr>
              <w:pStyle w:val="TableParagraph"/>
              <w:rPr>
                <w:rFonts w:ascii="Times New Roman"/>
                <w:sz w:val="22"/>
              </w:rPr>
            </w:pPr>
          </w:p>
        </w:tc>
        <w:tc>
          <w:tcPr>
            <w:tcW w:w="7534" w:type="dxa"/>
          </w:tcPr>
          <w:p>
            <w:pPr>
              <w:pStyle w:val="TableParagraph"/>
              <w:spacing w:line="266" w:lineRule="exact"/>
              <w:ind w:left="119"/>
              <w:rPr>
                <w:sz w:val="22"/>
              </w:rPr>
            </w:pPr>
            <w:r>
              <w:rPr>
                <w:spacing w:val="13"/>
                <w:sz w:val="22"/>
              </w:rPr>
              <w:t>不得對該案件之實體決定聲明不服時，得單獨對第一項之行為逕行提起</w:t>
            </w:r>
          </w:p>
          <w:p>
            <w:pPr>
              <w:pStyle w:val="TableParagraph"/>
              <w:spacing w:before="4"/>
              <w:ind w:left="119"/>
              <w:rPr>
                <w:sz w:val="22"/>
              </w:rPr>
            </w:pPr>
            <w:r>
              <w:rPr>
                <w:spacing w:val="9"/>
                <w:sz w:val="22"/>
              </w:rPr>
              <w:t>行政訴訟。</w:t>
            </w:r>
          </w:p>
        </w:tc>
      </w:tr>
      <w:tr>
        <w:trPr>
          <w:trHeight w:val="810" w:hRule="atLeast"/>
        </w:trPr>
        <w:tc>
          <w:tcPr>
            <w:tcW w:w="340" w:type="dxa"/>
          </w:tcPr>
          <w:p>
            <w:pPr>
              <w:pStyle w:val="TableParagraph"/>
              <w:spacing w:before="159"/>
              <w:ind w:left="50"/>
              <w:rPr>
                <w:sz w:val="22"/>
              </w:rPr>
            </w:pPr>
            <w:r>
              <w:rPr>
                <w:w w:val="101"/>
                <w:sz w:val="22"/>
              </w:rPr>
              <w:t>第</w:t>
            </w:r>
          </w:p>
        </w:tc>
        <w:tc>
          <w:tcPr>
            <w:tcW w:w="361" w:type="dxa"/>
          </w:tcPr>
          <w:p>
            <w:pPr>
              <w:pStyle w:val="TableParagraph"/>
              <w:spacing w:before="159"/>
              <w:ind w:right="61"/>
              <w:jc w:val="right"/>
              <w:rPr>
                <w:sz w:val="22"/>
              </w:rPr>
            </w:pPr>
            <w:r>
              <w:rPr>
                <w:spacing w:val="-5"/>
                <w:sz w:val="22"/>
              </w:rPr>
              <w:t>25</w:t>
            </w:r>
          </w:p>
        </w:tc>
        <w:tc>
          <w:tcPr>
            <w:tcW w:w="504" w:type="dxa"/>
          </w:tcPr>
          <w:p>
            <w:pPr>
              <w:pStyle w:val="TableParagraph"/>
              <w:spacing w:before="159"/>
              <w:ind w:left="63"/>
              <w:rPr>
                <w:sz w:val="22"/>
              </w:rPr>
            </w:pPr>
            <w:r>
              <w:rPr>
                <w:w w:val="101"/>
                <w:sz w:val="22"/>
              </w:rPr>
              <w:t>條</w:t>
            </w:r>
          </w:p>
        </w:tc>
        <w:tc>
          <w:tcPr>
            <w:tcW w:w="466" w:type="dxa"/>
          </w:tcPr>
          <w:p>
            <w:pPr>
              <w:pStyle w:val="TableParagraph"/>
              <w:spacing w:before="153"/>
              <w:ind w:left="98"/>
              <w:jc w:val="center"/>
              <w:rPr>
                <w:rFonts w:ascii="Consolas"/>
                <w:i/>
                <w:sz w:val="23"/>
              </w:rPr>
            </w:pPr>
            <w:r>
              <w:rPr>
                <w:rFonts w:ascii="Consolas"/>
                <w:i/>
                <w:w w:val="101"/>
                <w:sz w:val="23"/>
              </w:rPr>
              <w:t>1</w:t>
            </w:r>
          </w:p>
        </w:tc>
        <w:tc>
          <w:tcPr>
            <w:tcW w:w="7534" w:type="dxa"/>
          </w:tcPr>
          <w:p>
            <w:pPr>
              <w:pStyle w:val="TableParagraph"/>
              <w:spacing w:line="244" w:lineRule="auto" w:before="130"/>
              <w:ind w:left="119" w:right="285"/>
              <w:rPr>
                <w:sz w:val="22"/>
              </w:rPr>
            </w:pPr>
            <w:r>
              <w:rPr>
                <w:spacing w:val="11"/>
                <w:sz w:val="22"/>
              </w:rPr>
              <w:t>非公務機關有違反本法規定之情事者，中央目的事業主管機關或直轄</w:t>
            </w:r>
            <w:r>
              <w:rPr>
                <w:spacing w:val="12"/>
                <w:sz w:val="22"/>
              </w:rPr>
              <w:t>市、縣（市）</w:t>
            </w:r>
            <w:r>
              <w:rPr>
                <w:spacing w:val="11"/>
                <w:sz w:val="22"/>
              </w:rPr>
              <w:t>政府除依本法規定裁處罰鍰外，並得為下列處分：</w:t>
            </w:r>
          </w:p>
        </w:tc>
      </w:tr>
      <w:tr>
        <w:trPr>
          <w:trHeight w:val="431"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63"/>
              <w:ind w:left="119"/>
              <w:rPr>
                <w:sz w:val="22"/>
              </w:rPr>
            </w:pPr>
            <w:r>
              <w:rPr>
                <w:spacing w:val="12"/>
                <w:sz w:val="22"/>
              </w:rPr>
              <w:t>一、禁止蒐集、處理或利用個人資料。</w:t>
            </w:r>
          </w:p>
        </w:tc>
      </w:tr>
      <w:tr>
        <w:trPr>
          <w:trHeight w:val="431"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63"/>
              <w:ind w:left="119"/>
              <w:rPr>
                <w:sz w:val="22"/>
              </w:rPr>
            </w:pPr>
            <w:r>
              <w:rPr>
                <w:spacing w:val="12"/>
                <w:sz w:val="22"/>
              </w:rPr>
              <w:t>二、命令刪除經處理之個人資料檔案。</w:t>
            </w:r>
          </w:p>
        </w:tc>
      </w:tr>
      <w:tr>
        <w:trPr>
          <w:trHeight w:val="431"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63"/>
              <w:ind w:left="119"/>
              <w:rPr>
                <w:sz w:val="22"/>
              </w:rPr>
            </w:pPr>
            <w:r>
              <w:rPr>
                <w:spacing w:val="12"/>
                <w:sz w:val="22"/>
              </w:rPr>
              <w:t>三、沒入或命銷燬違法蒐集之個人資料。</w:t>
            </w:r>
          </w:p>
        </w:tc>
      </w:tr>
      <w:tr>
        <w:trPr>
          <w:trHeight w:val="431"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63"/>
              <w:ind w:left="119"/>
              <w:rPr>
                <w:sz w:val="22"/>
              </w:rPr>
            </w:pPr>
            <w:r>
              <w:rPr>
                <w:spacing w:val="13"/>
                <w:sz w:val="22"/>
              </w:rPr>
              <w:t>四、公布非公務機關之違法情形，及其姓名或名稱與負責人。</w:t>
            </w:r>
          </w:p>
        </w:tc>
      </w:tr>
      <w:tr>
        <w:trPr>
          <w:trHeight w:val="691"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spacing w:before="86"/>
              <w:ind w:left="98"/>
              <w:jc w:val="center"/>
              <w:rPr>
                <w:rFonts w:ascii="Consolas"/>
                <w:i/>
                <w:sz w:val="23"/>
              </w:rPr>
            </w:pPr>
            <w:r>
              <w:rPr>
                <w:rFonts w:ascii="Consolas"/>
                <w:i/>
                <w:w w:val="101"/>
                <w:sz w:val="23"/>
              </w:rPr>
              <w:t>2</w:t>
            </w:r>
          </w:p>
        </w:tc>
        <w:tc>
          <w:tcPr>
            <w:tcW w:w="7534" w:type="dxa"/>
          </w:tcPr>
          <w:p>
            <w:pPr>
              <w:pStyle w:val="TableParagraph"/>
              <w:spacing w:line="310" w:lineRule="atLeast" w:before="52"/>
              <w:ind w:left="119" w:right="47"/>
              <w:rPr>
                <w:sz w:val="22"/>
              </w:rPr>
            </w:pPr>
            <w:r>
              <w:rPr>
                <w:spacing w:val="12"/>
                <w:sz w:val="22"/>
              </w:rPr>
              <w:t>中央目的事業主管機關或直轄市、縣（市）</w:t>
            </w:r>
            <w:r>
              <w:rPr>
                <w:spacing w:val="10"/>
                <w:sz w:val="22"/>
              </w:rPr>
              <w:t>政府為前項處分時，應於防</w:t>
            </w:r>
            <w:r>
              <w:rPr>
                <w:spacing w:val="13"/>
                <w:sz w:val="22"/>
              </w:rPr>
              <w:t>制違反本法規定情事之必要範圍內，採取對該非公務機關權益損害最少</w:t>
            </w:r>
          </w:p>
        </w:tc>
      </w:tr>
      <w:tr>
        <w:trPr>
          <w:trHeight w:val="498"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10"/>
              <w:ind w:left="119"/>
              <w:rPr>
                <w:sz w:val="22"/>
              </w:rPr>
            </w:pPr>
            <w:r>
              <w:rPr>
                <w:spacing w:val="10"/>
                <w:sz w:val="22"/>
              </w:rPr>
              <w:t>之方法為之。</w:t>
            </w:r>
          </w:p>
        </w:tc>
      </w:tr>
      <w:tr>
        <w:trPr>
          <w:trHeight w:val="810" w:hRule="atLeast"/>
        </w:trPr>
        <w:tc>
          <w:tcPr>
            <w:tcW w:w="340" w:type="dxa"/>
          </w:tcPr>
          <w:p>
            <w:pPr>
              <w:pStyle w:val="TableParagraph"/>
              <w:spacing w:before="1"/>
              <w:rPr>
                <w:sz w:val="15"/>
              </w:rPr>
            </w:pPr>
          </w:p>
          <w:p>
            <w:pPr>
              <w:pStyle w:val="TableParagraph"/>
              <w:spacing w:before="1"/>
              <w:ind w:left="50"/>
              <w:rPr>
                <w:sz w:val="22"/>
              </w:rPr>
            </w:pPr>
            <w:r>
              <w:rPr>
                <w:w w:val="101"/>
                <w:sz w:val="22"/>
              </w:rPr>
              <w:t>第</w:t>
            </w:r>
          </w:p>
        </w:tc>
        <w:tc>
          <w:tcPr>
            <w:tcW w:w="361" w:type="dxa"/>
          </w:tcPr>
          <w:p>
            <w:pPr>
              <w:pStyle w:val="TableParagraph"/>
              <w:spacing w:before="1"/>
              <w:rPr>
                <w:sz w:val="15"/>
              </w:rPr>
            </w:pPr>
          </w:p>
          <w:p>
            <w:pPr>
              <w:pStyle w:val="TableParagraph"/>
              <w:spacing w:before="1"/>
              <w:ind w:right="61"/>
              <w:jc w:val="right"/>
              <w:rPr>
                <w:sz w:val="22"/>
              </w:rPr>
            </w:pPr>
            <w:r>
              <w:rPr>
                <w:spacing w:val="-5"/>
                <w:sz w:val="22"/>
              </w:rPr>
              <w:t>26</w:t>
            </w:r>
          </w:p>
        </w:tc>
        <w:tc>
          <w:tcPr>
            <w:tcW w:w="504" w:type="dxa"/>
          </w:tcPr>
          <w:p>
            <w:pPr>
              <w:pStyle w:val="TableParagraph"/>
              <w:spacing w:before="1"/>
              <w:rPr>
                <w:sz w:val="15"/>
              </w:rPr>
            </w:pPr>
          </w:p>
          <w:p>
            <w:pPr>
              <w:pStyle w:val="TableParagraph"/>
              <w:spacing w:before="1"/>
              <w:ind w:left="63"/>
              <w:rPr>
                <w:sz w:val="22"/>
              </w:rPr>
            </w:pPr>
            <w:r>
              <w:rPr>
                <w:w w:val="101"/>
                <w:sz w:val="22"/>
              </w:rPr>
              <w:t>條</w:t>
            </w:r>
          </w:p>
        </w:tc>
        <w:tc>
          <w:tcPr>
            <w:tcW w:w="466" w:type="dxa"/>
          </w:tcPr>
          <w:p>
            <w:pPr>
              <w:pStyle w:val="TableParagraph"/>
              <w:rPr>
                <w:rFonts w:ascii="Times New Roman"/>
                <w:sz w:val="22"/>
              </w:rPr>
            </w:pPr>
          </w:p>
        </w:tc>
        <w:tc>
          <w:tcPr>
            <w:tcW w:w="7534" w:type="dxa"/>
          </w:tcPr>
          <w:p>
            <w:pPr>
              <w:pStyle w:val="TableParagraph"/>
              <w:spacing w:line="310" w:lineRule="atLeast" w:before="171"/>
              <w:ind w:left="119" w:right="47"/>
              <w:rPr>
                <w:sz w:val="22"/>
              </w:rPr>
            </w:pPr>
            <w:r>
              <w:rPr>
                <w:spacing w:val="12"/>
                <w:sz w:val="22"/>
              </w:rPr>
              <w:t>中央目的事業主管機關或直轄市、縣（市）</w:t>
            </w:r>
            <w:r>
              <w:rPr>
                <w:spacing w:val="10"/>
                <w:sz w:val="22"/>
              </w:rPr>
              <w:t>政府依第二十二條規定檢查</w:t>
            </w:r>
            <w:r>
              <w:rPr>
                <w:spacing w:val="13"/>
                <w:sz w:val="22"/>
              </w:rPr>
              <w:t>後，未發現有違反本法規定之情事者，經該非公務機關同意後，得公布</w:t>
            </w:r>
          </w:p>
        </w:tc>
      </w:tr>
      <w:tr>
        <w:trPr>
          <w:trHeight w:val="498"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rPr>
                <w:rFonts w:ascii="Times New Roman"/>
                <w:sz w:val="22"/>
              </w:rPr>
            </w:pPr>
          </w:p>
        </w:tc>
        <w:tc>
          <w:tcPr>
            <w:tcW w:w="7534" w:type="dxa"/>
          </w:tcPr>
          <w:p>
            <w:pPr>
              <w:pStyle w:val="TableParagraph"/>
              <w:spacing w:before="10"/>
              <w:ind w:left="119"/>
              <w:rPr>
                <w:sz w:val="22"/>
              </w:rPr>
            </w:pPr>
            <w:r>
              <w:rPr>
                <w:spacing w:val="9"/>
                <w:sz w:val="22"/>
              </w:rPr>
              <w:t>檢查結果。</w:t>
            </w:r>
          </w:p>
        </w:tc>
      </w:tr>
      <w:tr>
        <w:trPr>
          <w:trHeight w:val="862" w:hRule="atLeast"/>
        </w:trPr>
        <w:tc>
          <w:tcPr>
            <w:tcW w:w="340" w:type="dxa"/>
          </w:tcPr>
          <w:p>
            <w:pPr>
              <w:pStyle w:val="TableParagraph"/>
              <w:spacing w:before="1"/>
              <w:rPr>
                <w:sz w:val="15"/>
              </w:rPr>
            </w:pPr>
          </w:p>
          <w:p>
            <w:pPr>
              <w:pStyle w:val="TableParagraph"/>
              <w:spacing w:before="1"/>
              <w:ind w:left="50"/>
              <w:rPr>
                <w:sz w:val="22"/>
              </w:rPr>
            </w:pPr>
            <w:r>
              <w:rPr>
                <w:w w:val="101"/>
                <w:sz w:val="22"/>
              </w:rPr>
              <w:t>第</w:t>
            </w:r>
          </w:p>
        </w:tc>
        <w:tc>
          <w:tcPr>
            <w:tcW w:w="361" w:type="dxa"/>
          </w:tcPr>
          <w:p>
            <w:pPr>
              <w:pStyle w:val="TableParagraph"/>
              <w:spacing w:before="1"/>
              <w:rPr>
                <w:sz w:val="15"/>
              </w:rPr>
            </w:pPr>
          </w:p>
          <w:p>
            <w:pPr>
              <w:pStyle w:val="TableParagraph"/>
              <w:spacing w:before="1"/>
              <w:ind w:right="61"/>
              <w:jc w:val="right"/>
              <w:rPr>
                <w:sz w:val="22"/>
              </w:rPr>
            </w:pPr>
            <w:r>
              <w:rPr>
                <w:spacing w:val="-5"/>
                <w:sz w:val="22"/>
              </w:rPr>
              <w:t>27</w:t>
            </w:r>
          </w:p>
        </w:tc>
        <w:tc>
          <w:tcPr>
            <w:tcW w:w="504" w:type="dxa"/>
          </w:tcPr>
          <w:p>
            <w:pPr>
              <w:pStyle w:val="TableParagraph"/>
              <w:spacing w:before="1"/>
              <w:rPr>
                <w:sz w:val="15"/>
              </w:rPr>
            </w:pPr>
          </w:p>
          <w:p>
            <w:pPr>
              <w:pStyle w:val="TableParagraph"/>
              <w:spacing w:before="1"/>
              <w:ind w:left="63"/>
              <w:rPr>
                <w:sz w:val="22"/>
              </w:rPr>
            </w:pPr>
            <w:r>
              <w:rPr>
                <w:w w:val="101"/>
                <w:sz w:val="22"/>
              </w:rPr>
              <w:t>條</w:t>
            </w:r>
          </w:p>
        </w:tc>
        <w:tc>
          <w:tcPr>
            <w:tcW w:w="466" w:type="dxa"/>
          </w:tcPr>
          <w:p>
            <w:pPr>
              <w:pStyle w:val="TableParagraph"/>
              <w:spacing w:before="9"/>
              <w:rPr>
                <w:sz w:val="14"/>
              </w:rPr>
            </w:pPr>
          </w:p>
          <w:p>
            <w:pPr>
              <w:pStyle w:val="TableParagraph"/>
              <w:ind w:left="98"/>
              <w:jc w:val="center"/>
              <w:rPr>
                <w:rFonts w:ascii="Consolas"/>
                <w:i/>
                <w:sz w:val="23"/>
              </w:rPr>
            </w:pPr>
            <w:r>
              <w:rPr>
                <w:rFonts w:ascii="Consolas"/>
                <w:i/>
                <w:w w:val="101"/>
                <w:sz w:val="23"/>
              </w:rPr>
              <w:t>1</w:t>
            </w:r>
          </w:p>
        </w:tc>
        <w:tc>
          <w:tcPr>
            <w:tcW w:w="7534" w:type="dxa"/>
          </w:tcPr>
          <w:p>
            <w:pPr>
              <w:pStyle w:val="TableParagraph"/>
              <w:spacing w:line="244" w:lineRule="auto" w:before="182"/>
              <w:ind w:left="119" w:right="47"/>
              <w:rPr>
                <w:sz w:val="22"/>
              </w:rPr>
            </w:pPr>
            <w:r>
              <w:rPr>
                <w:spacing w:val="11"/>
                <w:sz w:val="22"/>
              </w:rPr>
              <w:t>非公務機關保有個人資料檔案者，應採行適當之安全措施，防止個人資料被竊取、竄改、毀損、滅失或洩漏。</w:t>
            </w:r>
          </w:p>
        </w:tc>
      </w:tr>
      <w:tr>
        <w:trPr>
          <w:trHeight w:val="743"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spacing w:before="86"/>
              <w:ind w:left="98"/>
              <w:jc w:val="center"/>
              <w:rPr>
                <w:rFonts w:ascii="Consolas"/>
                <w:i/>
                <w:sz w:val="23"/>
              </w:rPr>
            </w:pPr>
            <w:r>
              <w:rPr>
                <w:rFonts w:ascii="Consolas"/>
                <w:i/>
                <w:w w:val="101"/>
                <w:sz w:val="23"/>
              </w:rPr>
              <w:t>2</w:t>
            </w:r>
          </w:p>
        </w:tc>
        <w:tc>
          <w:tcPr>
            <w:tcW w:w="7534" w:type="dxa"/>
          </w:tcPr>
          <w:p>
            <w:pPr>
              <w:pStyle w:val="TableParagraph"/>
              <w:spacing w:line="244" w:lineRule="auto" w:before="63"/>
              <w:ind w:left="119" w:right="47"/>
              <w:rPr>
                <w:sz w:val="22"/>
              </w:rPr>
            </w:pPr>
            <w:r>
              <w:rPr>
                <w:spacing w:val="11"/>
                <w:sz w:val="22"/>
              </w:rPr>
              <w:t>中央目的事業主管機關得指定非公務機關訂定個人資料檔案安全維護計畫或業務終止後個人資料處理方法。</w:t>
            </w:r>
          </w:p>
        </w:tc>
      </w:tr>
      <w:tr>
        <w:trPr>
          <w:trHeight w:val="394" w:hRule="atLeast"/>
        </w:trPr>
        <w:tc>
          <w:tcPr>
            <w:tcW w:w="340" w:type="dxa"/>
          </w:tcPr>
          <w:p>
            <w:pPr>
              <w:pStyle w:val="TableParagraph"/>
              <w:rPr>
                <w:rFonts w:ascii="Times New Roman"/>
                <w:sz w:val="22"/>
              </w:rPr>
            </w:pPr>
          </w:p>
        </w:tc>
        <w:tc>
          <w:tcPr>
            <w:tcW w:w="361" w:type="dxa"/>
          </w:tcPr>
          <w:p>
            <w:pPr>
              <w:pStyle w:val="TableParagraph"/>
              <w:rPr>
                <w:rFonts w:ascii="Times New Roman"/>
                <w:sz w:val="22"/>
              </w:rPr>
            </w:pPr>
          </w:p>
        </w:tc>
        <w:tc>
          <w:tcPr>
            <w:tcW w:w="504" w:type="dxa"/>
          </w:tcPr>
          <w:p>
            <w:pPr>
              <w:pStyle w:val="TableParagraph"/>
              <w:rPr>
                <w:rFonts w:ascii="Times New Roman"/>
                <w:sz w:val="22"/>
              </w:rPr>
            </w:pPr>
          </w:p>
        </w:tc>
        <w:tc>
          <w:tcPr>
            <w:tcW w:w="466" w:type="dxa"/>
          </w:tcPr>
          <w:p>
            <w:pPr>
              <w:pStyle w:val="TableParagraph"/>
              <w:spacing w:before="86"/>
              <w:ind w:left="98"/>
              <w:jc w:val="center"/>
              <w:rPr>
                <w:rFonts w:ascii="Consolas"/>
                <w:i/>
                <w:sz w:val="23"/>
              </w:rPr>
            </w:pPr>
            <w:r>
              <w:rPr>
                <w:rFonts w:ascii="Consolas"/>
                <w:i/>
                <w:w w:val="101"/>
                <w:sz w:val="23"/>
              </w:rPr>
              <w:t>3</w:t>
            </w:r>
          </w:p>
        </w:tc>
        <w:tc>
          <w:tcPr>
            <w:tcW w:w="7534" w:type="dxa"/>
          </w:tcPr>
          <w:p>
            <w:pPr>
              <w:pStyle w:val="TableParagraph"/>
              <w:spacing w:before="63"/>
              <w:ind w:left="119"/>
              <w:rPr>
                <w:sz w:val="22"/>
              </w:rPr>
            </w:pPr>
            <w:r>
              <w:rPr>
                <w:spacing w:val="13"/>
                <w:sz w:val="22"/>
              </w:rPr>
              <w:t>前項計畫及處理方法之標準等相關事項之辦法，由中央目的事業主管機</w:t>
            </w:r>
          </w:p>
        </w:tc>
      </w:tr>
      <w:tr>
        <w:trPr>
          <w:trHeight w:val="259" w:hRule="atLeast"/>
        </w:trPr>
        <w:tc>
          <w:tcPr>
            <w:tcW w:w="340" w:type="dxa"/>
          </w:tcPr>
          <w:p>
            <w:pPr>
              <w:pStyle w:val="TableParagraph"/>
              <w:rPr>
                <w:rFonts w:ascii="Times New Roman"/>
                <w:sz w:val="18"/>
              </w:rPr>
            </w:pPr>
          </w:p>
        </w:tc>
        <w:tc>
          <w:tcPr>
            <w:tcW w:w="361" w:type="dxa"/>
          </w:tcPr>
          <w:p>
            <w:pPr>
              <w:pStyle w:val="TableParagraph"/>
              <w:rPr>
                <w:rFonts w:ascii="Times New Roman"/>
                <w:sz w:val="18"/>
              </w:rPr>
            </w:pPr>
          </w:p>
        </w:tc>
        <w:tc>
          <w:tcPr>
            <w:tcW w:w="504" w:type="dxa"/>
          </w:tcPr>
          <w:p>
            <w:pPr>
              <w:pStyle w:val="TableParagraph"/>
              <w:rPr>
                <w:rFonts w:ascii="Times New Roman"/>
                <w:sz w:val="18"/>
              </w:rPr>
            </w:pPr>
          </w:p>
        </w:tc>
        <w:tc>
          <w:tcPr>
            <w:tcW w:w="466" w:type="dxa"/>
          </w:tcPr>
          <w:p>
            <w:pPr>
              <w:pStyle w:val="TableParagraph"/>
              <w:rPr>
                <w:rFonts w:ascii="Times New Roman"/>
                <w:sz w:val="18"/>
              </w:rPr>
            </w:pPr>
          </w:p>
        </w:tc>
        <w:tc>
          <w:tcPr>
            <w:tcW w:w="7534" w:type="dxa"/>
          </w:tcPr>
          <w:p>
            <w:pPr>
              <w:pStyle w:val="TableParagraph"/>
              <w:spacing w:line="240" w:lineRule="exact"/>
              <w:ind w:left="119"/>
              <w:rPr>
                <w:sz w:val="22"/>
              </w:rPr>
            </w:pPr>
            <w:r>
              <w:rPr>
                <w:spacing w:val="7"/>
                <w:sz w:val="22"/>
              </w:rPr>
              <w:t>關定之。</w:t>
            </w:r>
          </w:p>
        </w:tc>
      </w:tr>
    </w:tbl>
    <w:p>
      <w:pPr>
        <w:pStyle w:val="BodyText"/>
        <w:spacing w:before="3"/>
        <w:rPr>
          <w:sz w:val="24"/>
        </w:rPr>
      </w:pPr>
    </w:p>
    <w:p>
      <w:pPr>
        <w:pStyle w:val="BodyText"/>
        <w:spacing w:before="59"/>
        <w:ind w:left="778"/>
      </w:pPr>
      <w:r>
        <w:rPr>
          <w:spacing w:val="26"/>
        </w:rPr>
        <w:t>第 四 章 損害賠償及團體訴訟</w:t>
      </w:r>
    </w:p>
    <w:p>
      <w:pPr>
        <w:pStyle w:val="BodyText"/>
        <w:spacing w:before="1"/>
        <w:rPr>
          <w:sz w:val="12"/>
        </w:rPr>
      </w:pPr>
    </w:p>
    <w:p>
      <w:pPr>
        <w:spacing w:after="0"/>
        <w:rPr>
          <w:sz w:val="12"/>
        </w:rPr>
        <w:sectPr>
          <w:pgSz w:w="11900" w:h="16840"/>
          <w:pgMar w:top="780" w:bottom="280" w:left="820" w:right="760"/>
        </w:sectPr>
      </w:pPr>
    </w:p>
    <w:p>
      <w:pPr>
        <w:pStyle w:val="BodyText"/>
        <w:spacing w:before="88"/>
        <w:ind w:left="1047"/>
      </w:pPr>
      <w:r>
        <w:rPr>
          <w:spacing w:val="14"/>
        </w:rPr>
        <w:t>第 </w:t>
      </w:r>
      <w:r>
        <w:rPr/>
        <w:t>28</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32"/>
        </w:rPr>
      </w:pPr>
    </w:p>
    <w:p>
      <w:pPr>
        <w:pStyle w:val="BodyText"/>
        <w:ind w:left="1047"/>
      </w:pPr>
      <w:r>
        <w:rPr>
          <w:spacing w:val="14"/>
        </w:rPr>
        <w:t>第 </w:t>
      </w:r>
      <w:r>
        <w:rPr/>
        <w:t>29</w:t>
      </w:r>
      <w:r>
        <w:rPr>
          <w:spacing w:val="6"/>
        </w:rPr>
        <w:t> 條</w:t>
      </w:r>
    </w:p>
    <w:p>
      <w:pPr>
        <w:pStyle w:val="ListParagraph"/>
        <w:numPr>
          <w:ilvl w:val="0"/>
          <w:numId w:val="10"/>
        </w:numPr>
        <w:tabs>
          <w:tab w:pos="764" w:val="left" w:leader="none"/>
        </w:tabs>
        <w:spacing w:line="247" w:lineRule="auto" w:before="64" w:after="0"/>
        <w:ind w:left="763" w:right="164" w:hanging="369"/>
        <w:jc w:val="both"/>
        <w:rPr>
          <w:sz w:val="22"/>
        </w:rPr>
      </w:pPr>
      <w:r>
        <w:rPr/>
        <w:br w:type="column"/>
      </w:r>
      <w:r>
        <w:rPr>
          <w:spacing w:val="11"/>
          <w:position w:val="1"/>
          <w:sz w:val="22"/>
        </w:rPr>
        <w:t>公務機關違反本法規定，致個人資料遭不法蒐集、處理、利用或其他侵</w:t>
      </w:r>
      <w:r>
        <w:rPr>
          <w:spacing w:val="11"/>
          <w:sz w:val="22"/>
        </w:rPr>
        <w:t>害當事人權利者，負損害賠償責任。但損害因天災、事變或其他不可抗</w:t>
      </w:r>
      <w:r>
        <w:rPr>
          <w:spacing w:val="10"/>
          <w:sz w:val="22"/>
        </w:rPr>
        <w:t>力所致者，不在此限。</w:t>
      </w:r>
    </w:p>
    <w:p>
      <w:pPr>
        <w:pStyle w:val="ListParagraph"/>
        <w:numPr>
          <w:ilvl w:val="0"/>
          <w:numId w:val="10"/>
        </w:numPr>
        <w:tabs>
          <w:tab w:pos="764" w:val="left" w:leader="none"/>
        </w:tabs>
        <w:spacing w:line="252" w:lineRule="auto" w:before="120" w:after="0"/>
        <w:ind w:left="763" w:right="402" w:hanging="369"/>
        <w:jc w:val="left"/>
        <w:rPr>
          <w:sz w:val="22"/>
        </w:rPr>
      </w:pPr>
      <w:r>
        <w:rPr>
          <w:spacing w:val="11"/>
          <w:position w:val="1"/>
          <w:sz w:val="22"/>
        </w:rPr>
        <w:t>被害人雖非財產上之損害，亦得請求賠償相當之金額；其名譽被侵害</w:t>
      </w:r>
      <w:r>
        <w:rPr>
          <w:spacing w:val="11"/>
          <w:sz w:val="22"/>
        </w:rPr>
        <w:t>者，並得請求為回復名譽之適當處分。</w:t>
      </w:r>
    </w:p>
    <w:p>
      <w:pPr>
        <w:pStyle w:val="ListParagraph"/>
        <w:numPr>
          <w:ilvl w:val="0"/>
          <w:numId w:val="10"/>
        </w:numPr>
        <w:tabs>
          <w:tab w:pos="764" w:val="left" w:leader="none"/>
        </w:tabs>
        <w:spacing w:line="252" w:lineRule="auto" w:before="98" w:after="0"/>
        <w:ind w:left="763" w:right="164" w:hanging="369"/>
        <w:jc w:val="left"/>
        <w:rPr>
          <w:sz w:val="22"/>
        </w:rPr>
      </w:pPr>
      <w:r>
        <w:rPr>
          <w:spacing w:val="11"/>
          <w:position w:val="1"/>
          <w:sz w:val="22"/>
        </w:rPr>
        <w:t>依前二項情形，如被害人不易或不能證明其實際損害額時，得請求法院</w:t>
      </w:r>
      <w:r>
        <w:rPr>
          <w:spacing w:val="11"/>
          <w:sz w:val="22"/>
        </w:rPr>
        <w:t>依侵害情節，以每人每一事件新臺幣五百元以上二萬元以下計算。</w:t>
      </w:r>
    </w:p>
    <w:p>
      <w:pPr>
        <w:pStyle w:val="ListParagraph"/>
        <w:numPr>
          <w:ilvl w:val="0"/>
          <w:numId w:val="10"/>
        </w:numPr>
        <w:tabs>
          <w:tab w:pos="764" w:val="left" w:leader="none"/>
        </w:tabs>
        <w:spacing w:line="247" w:lineRule="auto" w:before="113" w:after="0"/>
        <w:ind w:left="763" w:right="164" w:hanging="369"/>
        <w:jc w:val="both"/>
        <w:rPr>
          <w:sz w:val="22"/>
        </w:rPr>
      </w:pPr>
      <w:r>
        <w:rPr>
          <w:spacing w:val="11"/>
          <w:position w:val="1"/>
          <w:sz w:val="22"/>
        </w:rPr>
        <w:t>對於同一原因事實造成多數當事人權利受侵害之事件，經當事人請求損</w:t>
      </w:r>
      <w:r>
        <w:rPr>
          <w:spacing w:val="11"/>
          <w:sz w:val="22"/>
        </w:rPr>
        <w:t>害賠償者，其合計最高總額以新臺幣二億元為限。但因該原因事實所涉利益超過新臺幣二億元者，以該所涉利益為限。</w:t>
      </w:r>
    </w:p>
    <w:p>
      <w:pPr>
        <w:pStyle w:val="ListParagraph"/>
        <w:numPr>
          <w:ilvl w:val="0"/>
          <w:numId w:val="10"/>
        </w:numPr>
        <w:tabs>
          <w:tab w:pos="764" w:val="left" w:leader="none"/>
        </w:tabs>
        <w:spacing w:line="240" w:lineRule="auto" w:before="120" w:after="0"/>
        <w:ind w:left="763" w:right="164" w:hanging="369"/>
        <w:jc w:val="both"/>
        <w:rPr>
          <w:sz w:val="22"/>
        </w:rPr>
      </w:pPr>
      <w:r>
        <w:rPr>
          <w:spacing w:val="11"/>
          <w:position w:val="1"/>
          <w:sz w:val="22"/>
        </w:rPr>
        <w:t>同一原因事實造成之損害總額逾前項金額時，被害人所受賠償金額，不</w:t>
      </w:r>
      <w:r>
        <w:rPr>
          <w:spacing w:val="11"/>
          <w:sz w:val="22"/>
        </w:rPr>
        <w:t>受第三項所定每人每一事件最低賠償金額新臺幣五百元之限制。</w:t>
      </w:r>
    </w:p>
    <w:p>
      <w:pPr>
        <w:pStyle w:val="ListParagraph"/>
        <w:numPr>
          <w:ilvl w:val="0"/>
          <w:numId w:val="10"/>
        </w:numPr>
        <w:tabs>
          <w:tab w:pos="764" w:val="left" w:leader="none"/>
        </w:tabs>
        <w:spacing w:line="240" w:lineRule="auto" w:before="129" w:after="0"/>
        <w:ind w:left="763" w:right="164" w:hanging="369"/>
        <w:jc w:val="both"/>
        <w:rPr>
          <w:sz w:val="22"/>
        </w:rPr>
      </w:pPr>
      <w:r>
        <w:rPr>
          <w:spacing w:val="11"/>
          <w:position w:val="1"/>
          <w:sz w:val="22"/>
        </w:rPr>
        <w:t>第二項請求權，不得讓與或繼承。但以金額賠償之請求權已依契約承諾</w:t>
      </w:r>
      <w:r>
        <w:rPr>
          <w:spacing w:val="10"/>
          <w:sz w:val="22"/>
        </w:rPr>
        <w:t>或已起訴者，不在此限。</w:t>
      </w:r>
    </w:p>
    <w:p>
      <w:pPr>
        <w:pStyle w:val="BodyText"/>
        <w:spacing w:before="3"/>
        <w:rPr>
          <w:sz w:val="26"/>
        </w:rPr>
      </w:pPr>
    </w:p>
    <w:p>
      <w:pPr>
        <w:pStyle w:val="ListParagraph"/>
        <w:numPr>
          <w:ilvl w:val="0"/>
          <w:numId w:val="11"/>
        </w:numPr>
        <w:tabs>
          <w:tab w:pos="764" w:val="left" w:leader="none"/>
        </w:tabs>
        <w:spacing w:line="252" w:lineRule="auto" w:before="0" w:after="0"/>
        <w:ind w:left="763" w:right="164" w:hanging="369"/>
        <w:jc w:val="left"/>
        <w:rPr>
          <w:sz w:val="22"/>
        </w:rPr>
      </w:pPr>
      <w:r>
        <w:rPr>
          <w:spacing w:val="11"/>
          <w:position w:val="1"/>
          <w:sz w:val="22"/>
        </w:rPr>
        <w:t>非公務機關違反本法規定，致個人資料遭不法蒐集、處理、利用或其他</w:t>
      </w:r>
      <w:r>
        <w:rPr>
          <w:spacing w:val="11"/>
          <w:sz w:val="22"/>
        </w:rPr>
        <w:t>侵害當事人權利者，負損害賠償責任。但能證明其無故意或過失者，不</w:t>
      </w:r>
    </w:p>
    <w:p>
      <w:pPr>
        <w:spacing w:after="0" w:line="252" w:lineRule="auto"/>
        <w:jc w:val="left"/>
        <w:rPr>
          <w:sz w:val="22"/>
        </w:rPr>
        <w:sectPr>
          <w:type w:val="continuous"/>
          <w:pgSz w:w="11900" w:h="16840"/>
          <w:pgMar w:top="760" w:bottom="280" w:left="820" w:right="760"/>
          <w:cols w:num="2" w:equalWidth="0">
            <w:col w:w="1985" w:space="40"/>
            <w:col w:w="8295"/>
          </w:cols>
        </w:sectPr>
      </w:pPr>
    </w:p>
    <w:p>
      <w:pPr>
        <w:pStyle w:val="BodyText"/>
        <w:spacing w:before="44"/>
        <w:ind w:left="2787"/>
      </w:pPr>
      <w:r>
        <w:rPr>
          <w:spacing w:val="7"/>
        </w:rPr>
        <w:t>在此限。</w:t>
      </w:r>
    </w:p>
    <w:p>
      <w:pPr>
        <w:pStyle w:val="ListParagraph"/>
        <w:numPr>
          <w:ilvl w:val="0"/>
          <w:numId w:val="11"/>
        </w:numPr>
        <w:tabs>
          <w:tab w:pos="2788" w:val="left" w:leader="none"/>
        </w:tabs>
        <w:spacing w:line="240" w:lineRule="auto" w:before="129" w:after="0"/>
        <w:ind w:left="2787" w:right="0" w:hanging="369"/>
        <w:jc w:val="left"/>
        <w:rPr>
          <w:sz w:val="22"/>
        </w:rPr>
      </w:pPr>
      <w:r>
        <w:rPr>
          <w:spacing w:val="13"/>
          <w:position w:val="1"/>
          <w:sz w:val="22"/>
        </w:rPr>
        <w:t>依前項規定請求賠償者，適用前條第二項至第六項規定。</w:t>
      </w:r>
    </w:p>
    <w:p>
      <w:pPr>
        <w:pStyle w:val="BodyText"/>
        <w:spacing w:before="11"/>
        <w:rPr>
          <w:sz w:val="12"/>
        </w:rPr>
      </w:pPr>
    </w:p>
    <w:p>
      <w:pPr>
        <w:spacing w:after="0"/>
        <w:rPr>
          <w:sz w:val="12"/>
        </w:rPr>
        <w:sectPr>
          <w:pgSz w:w="11900" w:h="16840"/>
          <w:pgMar w:top="720" w:bottom="280" w:left="820" w:right="760"/>
        </w:sectPr>
      </w:pPr>
    </w:p>
    <w:p>
      <w:pPr>
        <w:pStyle w:val="BodyText"/>
        <w:spacing w:before="89"/>
        <w:ind w:left="1047"/>
      </w:pPr>
      <w:r>
        <w:rPr>
          <w:spacing w:val="14"/>
        </w:rPr>
        <w:t>第 </w:t>
      </w:r>
      <w:r>
        <w:rPr/>
        <w:t>30</w:t>
      </w:r>
      <w:r>
        <w:rPr>
          <w:spacing w:val="6"/>
        </w:rPr>
        <w:t> 條</w:t>
      </w:r>
    </w:p>
    <w:p>
      <w:pPr>
        <w:pStyle w:val="BodyText"/>
      </w:pPr>
    </w:p>
    <w:p>
      <w:pPr>
        <w:pStyle w:val="BodyText"/>
        <w:spacing w:before="4"/>
        <w:rPr>
          <w:sz w:val="27"/>
        </w:rPr>
      </w:pPr>
    </w:p>
    <w:p>
      <w:pPr>
        <w:pStyle w:val="BodyText"/>
        <w:ind w:left="1047"/>
      </w:pPr>
      <w:r>
        <w:rPr>
          <w:spacing w:val="14"/>
        </w:rPr>
        <w:t>第 </w:t>
      </w:r>
      <w:r>
        <w:rPr/>
        <w:t>31</w:t>
      </w:r>
      <w:r>
        <w:rPr>
          <w:spacing w:val="6"/>
        </w:rPr>
        <w:t> 條</w:t>
      </w:r>
    </w:p>
    <w:p>
      <w:pPr>
        <w:pStyle w:val="BodyText"/>
      </w:pPr>
    </w:p>
    <w:p>
      <w:pPr>
        <w:pStyle w:val="BodyText"/>
        <w:spacing w:before="3"/>
        <w:rPr>
          <w:sz w:val="26"/>
        </w:rPr>
      </w:pPr>
    </w:p>
    <w:p>
      <w:pPr>
        <w:pStyle w:val="BodyText"/>
        <w:ind w:left="1047"/>
      </w:pPr>
      <w:r>
        <w:rPr>
          <w:spacing w:val="14"/>
        </w:rPr>
        <w:t>第 </w:t>
      </w:r>
      <w:r>
        <w:rPr/>
        <w:t>32</w:t>
      </w:r>
      <w:r>
        <w:rPr>
          <w:spacing w:val="6"/>
        </w:rPr>
        <w:t> 條</w:t>
      </w:r>
    </w:p>
    <w:p>
      <w:pPr>
        <w:pStyle w:val="BodyText"/>
      </w:pPr>
    </w:p>
    <w:p>
      <w:pPr>
        <w:pStyle w:val="BodyText"/>
      </w:pPr>
    </w:p>
    <w:p>
      <w:pPr>
        <w:pStyle w:val="BodyText"/>
      </w:pPr>
    </w:p>
    <w:p>
      <w:pPr>
        <w:pStyle w:val="BodyText"/>
      </w:pPr>
    </w:p>
    <w:p>
      <w:pPr>
        <w:pStyle w:val="BodyText"/>
      </w:pPr>
    </w:p>
    <w:p>
      <w:pPr>
        <w:pStyle w:val="BodyText"/>
        <w:spacing w:before="11"/>
        <w:rPr>
          <w:sz w:val="30"/>
        </w:rPr>
      </w:pPr>
    </w:p>
    <w:p>
      <w:pPr>
        <w:pStyle w:val="BodyText"/>
        <w:ind w:left="1047"/>
      </w:pPr>
      <w:r>
        <w:rPr>
          <w:spacing w:val="14"/>
        </w:rPr>
        <w:t>第 </w:t>
      </w:r>
      <w:r>
        <w:rPr/>
        <w:t>33</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7"/>
        </w:rPr>
      </w:pPr>
    </w:p>
    <w:p>
      <w:pPr>
        <w:pStyle w:val="BodyText"/>
        <w:ind w:left="1047"/>
      </w:pPr>
      <w:r>
        <w:rPr>
          <w:spacing w:val="14"/>
        </w:rPr>
        <w:t>第 </w:t>
      </w:r>
      <w:r>
        <w:rPr/>
        <w:t>34</w:t>
      </w:r>
      <w:r>
        <w:rPr>
          <w:spacing w:val="6"/>
        </w:rPr>
        <w:t> 條</w:t>
      </w:r>
    </w:p>
    <w:p>
      <w:pPr>
        <w:pStyle w:val="BodyText"/>
        <w:spacing w:line="254" w:lineRule="auto" w:before="59"/>
        <w:ind w:left="763" w:right="164"/>
      </w:pPr>
      <w:r>
        <w:rPr/>
        <w:br w:type="column"/>
      </w:r>
      <w:r>
        <w:rPr>
          <w:spacing w:val="11"/>
        </w:rPr>
        <w:t>損害賠償請求權，自請求權人知有損害及賠償義務人時起，因二年間不行使而消滅；自損害發生時起，逾五年者，亦同。</w:t>
      </w:r>
    </w:p>
    <w:p>
      <w:pPr>
        <w:pStyle w:val="BodyText"/>
        <w:spacing w:before="9"/>
        <w:rPr>
          <w:sz w:val="24"/>
        </w:rPr>
      </w:pPr>
    </w:p>
    <w:p>
      <w:pPr>
        <w:pStyle w:val="BodyText"/>
        <w:spacing w:line="244" w:lineRule="auto"/>
        <w:ind w:left="763" w:right="164"/>
      </w:pPr>
      <w:r>
        <w:rPr>
          <w:spacing w:val="11"/>
        </w:rPr>
        <w:t>損害賠償，除依本法規定外，公務機關適用國家賠償法之規定，非公務</w:t>
      </w:r>
      <w:r>
        <w:rPr>
          <w:spacing w:val="10"/>
        </w:rPr>
        <w:t>機關適用民法之規定。</w:t>
      </w:r>
    </w:p>
    <w:p>
      <w:pPr>
        <w:pStyle w:val="BodyText"/>
        <w:spacing w:before="8"/>
        <w:rPr>
          <w:sz w:val="16"/>
        </w:rPr>
      </w:pPr>
    </w:p>
    <w:p>
      <w:pPr>
        <w:pStyle w:val="BodyText"/>
        <w:spacing w:line="430" w:lineRule="atLeast"/>
        <w:ind w:left="763" w:right="164"/>
      </w:pPr>
      <w:r>
        <w:rPr>
          <w:spacing w:val="11"/>
        </w:rPr>
        <w:t>依本章規定提起訴訟之財團法人或公益社團法人，應符合下列要件：</w:t>
      </w:r>
      <w:r>
        <w:rPr>
          <w:spacing w:val="80"/>
          <w:w w:val="150"/>
        </w:rPr>
        <w:t> </w:t>
      </w:r>
      <w:r>
        <w:rPr>
          <w:spacing w:val="11"/>
        </w:rPr>
        <w:t>一、財團法人之登記財產總額達新臺幣一千萬元或社團法人之社員人數</w:t>
      </w:r>
    </w:p>
    <w:p>
      <w:pPr>
        <w:pStyle w:val="BodyText"/>
        <w:spacing w:before="22"/>
        <w:ind w:left="1210"/>
      </w:pPr>
      <w:r>
        <w:rPr>
          <w:spacing w:val="9"/>
        </w:rPr>
        <w:t>達一百人。</w:t>
      </w:r>
    </w:p>
    <w:p>
      <w:pPr>
        <w:pStyle w:val="BodyText"/>
        <w:spacing w:line="336" w:lineRule="auto" w:before="108"/>
        <w:ind w:left="763" w:right="2307"/>
      </w:pPr>
      <w:r>
        <w:rPr>
          <w:spacing w:val="11"/>
        </w:rPr>
        <w:t>二、保護個人資料事項於其章程所定目的範圍內。</w:t>
      </w:r>
      <w:r>
        <w:rPr>
          <w:spacing w:val="10"/>
        </w:rPr>
        <w:t>三、許可設立三年以上。</w:t>
      </w:r>
    </w:p>
    <w:p>
      <w:pPr>
        <w:pStyle w:val="BodyText"/>
        <w:spacing w:before="7"/>
        <w:rPr>
          <w:sz w:val="17"/>
        </w:rPr>
      </w:pPr>
    </w:p>
    <w:p>
      <w:pPr>
        <w:pStyle w:val="ListParagraph"/>
        <w:numPr>
          <w:ilvl w:val="0"/>
          <w:numId w:val="12"/>
        </w:numPr>
        <w:tabs>
          <w:tab w:pos="764" w:val="left" w:leader="none"/>
        </w:tabs>
        <w:spacing w:line="247" w:lineRule="auto" w:before="0" w:after="0"/>
        <w:ind w:left="763" w:right="164" w:hanging="369"/>
        <w:jc w:val="both"/>
        <w:rPr>
          <w:sz w:val="22"/>
        </w:rPr>
      </w:pPr>
      <w:r>
        <w:rPr>
          <w:spacing w:val="11"/>
          <w:position w:val="1"/>
          <w:sz w:val="22"/>
        </w:rPr>
        <w:t>依本法規定對於公務機關提起損害賠償訴訟者，專屬該機關所在地之地</w:t>
      </w:r>
      <w:r>
        <w:rPr>
          <w:spacing w:val="11"/>
          <w:sz w:val="22"/>
        </w:rPr>
        <w:t>方法院管轄。對於非公務機關提起者，專屬其主事務所、主營業所或住</w:t>
      </w:r>
      <w:r>
        <w:rPr>
          <w:spacing w:val="10"/>
          <w:sz w:val="22"/>
        </w:rPr>
        <w:t>所地之地方法院管轄。</w:t>
      </w:r>
    </w:p>
    <w:p>
      <w:pPr>
        <w:pStyle w:val="ListParagraph"/>
        <w:numPr>
          <w:ilvl w:val="0"/>
          <w:numId w:val="12"/>
        </w:numPr>
        <w:tabs>
          <w:tab w:pos="764" w:val="left" w:leader="none"/>
        </w:tabs>
        <w:spacing w:line="247" w:lineRule="auto" w:before="121" w:after="0"/>
        <w:ind w:left="763" w:right="164" w:hanging="369"/>
        <w:jc w:val="both"/>
        <w:rPr>
          <w:sz w:val="22"/>
        </w:rPr>
      </w:pPr>
      <w:r>
        <w:rPr>
          <w:spacing w:val="11"/>
          <w:position w:val="1"/>
          <w:sz w:val="22"/>
        </w:rPr>
        <w:t>前項非公務機關為自然人，而其在中華民國現無住所或住所不明者，以</w:t>
      </w:r>
      <w:r>
        <w:rPr>
          <w:spacing w:val="11"/>
          <w:sz w:val="22"/>
        </w:rPr>
        <w:t>其在中華民國之居所，視為其住所；無居所或居所不明者，以其在中華民國最後之住所，視為其住所；無最後住所者，專屬中央政府所在地之</w:t>
      </w:r>
      <w:r>
        <w:rPr>
          <w:spacing w:val="10"/>
          <w:sz w:val="22"/>
        </w:rPr>
        <w:t>地方法院管轄。</w:t>
      </w:r>
    </w:p>
    <w:p>
      <w:pPr>
        <w:pStyle w:val="ListParagraph"/>
        <w:numPr>
          <w:ilvl w:val="0"/>
          <w:numId w:val="12"/>
        </w:numPr>
        <w:tabs>
          <w:tab w:pos="764" w:val="left" w:leader="none"/>
        </w:tabs>
        <w:spacing w:line="247" w:lineRule="auto" w:before="116" w:after="0"/>
        <w:ind w:left="763" w:right="164" w:hanging="369"/>
        <w:jc w:val="both"/>
        <w:rPr>
          <w:sz w:val="22"/>
        </w:rPr>
      </w:pPr>
      <w:r>
        <w:rPr>
          <w:spacing w:val="11"/>
          <w:position w:val="1"/>
          <w:sz w:val="22"/>
        </w:rPr>
        <w:t>第一項非公務機關為自然人以外之法人或其他團體，而其在中華民國現</w:t>
      </w:r>
      <w:r>
        <w:rPr>
          <w:spacing w:val="11"/>
          <w:sz w:val="22"/>
        </w:rPr>
        <w:t>無主事務所、主營業所或主事務所、主營業所不明者，專屬中央政府所</w:t>
      </w:r>
      <w:r>
        <w:rPr>
          <w:spacing w:val="10"/>
          <w:sz w:val="22"/>
        </w:rPr>
        <w:t>在地之地方法院管轄。</w:t>
      </w:r>
    </w:p>
    <w:p>
      <w:pPr>
        <w:pStyle w:val="BodyText"/>
        <w:spacing w:before="9"/>
        <w:rPr>
          <w:sz w:val="25"/>
        </w:rPr>
      </w:pPr>
    </w:p>
    <w:p>
      <w:pPr>
        <w:pStyle w:val="ListParagraph"/>
        <w:numPr>
          <w:ilvl w:val="0"/>
          <w:numId w:val="13"/>
        </w:numPr>
        <w:tabs>
          <w:tab w:pos="764" w:val="left" w:leader="none"/>
        </w:tabs>
        <w:spacing w:line="249" w:lineRule="auto" w:before="0" w:after="0"/>
        <w:ind w:left="763" w:right="164" w:hanging="369"/>
        <w:jc w:val="both"/>
        <w:rPr>
          <w:sz w:val="22"/>
        </w:rPr>
      </w:pPr>
      <w:r>
        <w:rPr>
          <w:spacing w:val="11"/>
          <w:position w:val="1"/>
          <w:sz w:val="22"/>
        </w:rPr>
        <w:t>對於同一原因事實造成多數當事人權利受侵害之事件，財團法人或公益</w:t>
      </w:r>
      <w:r>
        <w:rPr>
          <w:spacing w:val="11"/>
          <w:sz w:val="22"/>
        </w:rPr>
        <w:t>社團法人經受有損害之當事人二十人以上以書面授與訴訟實施權者，得以自己之名義，提起損害賠償訴訟。當事人得於言詞辯論終結前以書面撤回訴訟實施權之授與，並通知法院。</w:t>
      </w:r>
    </w:p>
    <w:p>
      <w:pPr>
        <w:pStyle w:val="ListParagraph"/>
        <w:numPr>
          <w:ilvl w:val="0"/>
          <w:numId w:val="13"/>
        </w:numPr>
        <w:tabs>
          <w:tab w:pos="764" w:val="left" w:leader="none"/>
        </w:tabs>
        <w:spacing w:line="249" w:lineRule="auto" w:before="103" w:after="0"/>
        <w:ind w:left="763" w:right="164" w:hanging="369"/>
        <w:jc w:val="left"/>
        <w:rPr>
          <w:sz w:val="22"/>
        </w:rPr>
      </w:pPr>
      <w:r>
        <w:rPr>
          <w:spacing w:val="11"/>
          <w:position w:val="1"/>
          <w:sz w:val="22"/>
        </w:rPr>
        <w:t>前項訴訟，法院得依聲請或依職權公告曉示其他因同一原因事實受有損</w:t>
      </w:r>
      <w:r>
        <w:rPr>
          <w:spacing w:val="11"/>
          <w:sz w:val="22"/>
        </w:rPr>
        <w:t>害之當事人，得於一定期間內向前項起訴之財團法人或公益社團法人授與訴訟實施權，由該財團法人或公益社團法人於第一審言詞辯論終結</w:t>
      </w:r>
      <w:r>
        <w:rPr>
          <w:spacing w:val="80"/>
          <w:w w:val="150"/>
          <w:sz w:val="22"/>
        </w:rPr>
        <w:t> </w:t>
      </w:r>
      <w:r>
        <w:rPr>
          <w:spacing w:val="11"/>
          <w:sz w:val="22"/>
        </w:rPr>
        <w:t>前，擴張應受判決事項之聲明。</w:t>
      </w:r>
    </w:p>
    <w:p>
      <w:pPr>
        <w:pStyle w:val="ListParagraph"/>
        <w:numPr>
          <w:ilvl w:val="0"/>
          <w:numId w:val="13"/>
        </w:numPr>
        <w:tabs>
          <w:tab w:pos="764" w:val="left" w:leader="none"/>
        </w:tabs>
        <w:spacing w:line="240" w:lineRule="auto" w:before="119" w:after="0"/>
        <w:ind w:left="763" w:right="402" w:hanging="369"/>
        <w:jc w:val="left"/>
        <w:rPr>
          <w:sz w:val="22"/>
        </w:rPr>
      </w:pPr>
      <w:r>
        <w:rPr>
          <w:spacing w:val="11"/>
          <w:position w:val="1"/>
          <w:sz w:val="22"/>
        </w:rPr>
        <w:t>其他因同一原因事實受有損害之當事人未依前項規定授與訴訟實施權</w:t>
      </w:r>
      <w:r>
        <w:rPr>
          <w:spacing w:val="11"/>
          <w:sz w:val="22"/>
        </w:rPr>
        <w:t>者，亦得於法院公告曉示之一定期間內起訴，由法院併案審理。</w:t>
      </w:r>
    </w:p>
    <w:p>
      <w:pPr>
        <w:pStyle w:val="ListParagraph"/>
        <w:numPr>
          <w:ilvl w:val="0"/>
          <w:numId w:val="13"/>
        </w:numPr>
        <w:tabs>
          <w:tab w:pos="764" w:val="left" w:leader="none"/>
        </w:tabs>
        <w:spacing w:line="240" w:lineRule="auto" w:before="129" w:after="0"/>
        <w:ind w:left="763" w:right="0" w:hanging="369"/>
        <w:jc w:val="left"/>
        <w:rPr>
          <w:sz w:val="22"/>
        </w:rPr>
      </w:pPr>
      <w:r>
        <w:rPr>
          <w:spacing w:val="13"/>
          <w:position w:val="1"/>
          <w:sz w:val="22"/>
        </w:rPr>
        <w:t>其他因同一原因事實受有損害之當事人，亦得聲請法院為前項之公告。</w:t>
      </w:r>
    </w:p>
    <w:p>
      <w:pPr>
        <w:pStyle w:val="ListParagraph"/>
        <w:numPr>
          <w:ilvl w:val="0"/>
          <w:numId w:val="13"/>
        </w:numPr>
        <w:tabs>
          <w:tab w:pos="764" w:val="left" w:leader="none"/>
        </w:tabs>
        <w:spacing w:line="247" w:lineRule="auto" w:before="123" w:after="0"/>
        <w:ind w:left="763" w:right="164" w:hanging="369"/>
        <w:jc w:val="both"/>
        <w:rPr>
          <w:sz w:val="22"/>
        </w:rPr>
      </w:pPr>
      <w:r>
        <w:rPr>
          <w:spacing w:val="11"/>
          <w:position w:val="1"/>
          <w:sz w:val="22"/>
        </w:rPr>
        <w:t>前二項公告，應揭示於法院公告處、資訊網路及其他適當處所；法院認</w:t>
      </w:r>
      <w:r>
        <w:rPr>
          <w:spacing w:val="11"/>
          <w:sz w:val="22"/>
        </w:rPr>
        <w:t>為必要時，並得命登載於公報或新聞紙，或用其他方法公告之，其費用</w:t>
      </w:r>
      <w:r>
        <w:rPr>
          <w:spacing w:val="10"/>
          <w:sz w:val="22"/>
        </w:rPr>
        <w:t>由國庫墊付。</w:t>
      </w:r>
    </w:p>
    <w:p>
      <w:pPr>
        <w:pStyle w:val="ListParagraph"/>
        <w:numPr>
          <w:ilvl w:val="0"/>
          <w:numId w:val="13"/>
        </w:numPr>
        <w:tabs>
          <w:tab w:pos="764" w:val="left" w:leader="none"/>
        </w:tabs>
        <w:spacing w:line="240" w:lineRule="auto" w:before="121" w:after="0"/>
        <w:ind w:left="763" w:right="164" w:hanging="369"/>
        <w:jc w:val="both"/>
        <w:rPr>
          <w:sz w:val="22"/>
        </w:rPr>
      </w:pPr>
      <w:r>
        <w:rPr>
          <w:spacing w:val="11"/>
          <w:position w:val="1"/>
          <w:sz w:val="22"/>
        </w:rPr>
        <w:t>依第一項規定提起訴訟之財團法人或公益社團法人，其標的價額超過新</w:t>
      </w:r>
      <w:r>
        <w:rPr>
          <w:spacing w:val="11"/>
          <w:sz w:val="22"/>
        </w:rPr>
        <w:t>臺幣六十萬元者，超過部分暫免徵裁判費。</w:t>
      </w:r>
    </w:p>
    <w:p>
      <w:pPr>
        <w:spacing w:after="0" w:line="240" w:lineRule="auto"/>
        <w:jc w:val="both"/>
        <w:rPr>
          <w:sz w:val="22"/>
        </w:rPr>
        <w:sectPr>
          <w:type w:val="continuous"/>
          <w:pgSz w:w="11900" w:h="16840"/>
          <w:pgMar w:top="760" w:bottom="280" w:left="820" w:right="760"/>
          <w:cols w:num="2" w:equalWidth="0">
            <w:col w:w="1985" w:space="40"/>
            <w:col w:w="8295"/>
          </w:cols>
        </w:sectPr>
      </w:pPr>
    </w:p>
    <w:p>
      <w:pPr>
        <w:pStyle w:val="BodyText"/>
        <w:spacing w:before="73"/>
        <w:ind w:left="1047"/>
      </w:pPr>
      <w:r>
        <w:rPr>
          <w:spacing w:val="14"/>
        </w:rPr>
        <w:t>第 </w:t>
      </w:r>
      <w:r>
        <w:rPr/>
        <w:t>35</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6"/>
        </w:rPr>
      </w:pPr>
    </w:p>
    <w:p>
      <w:pPr>
        <w:pStyle w:val="BodyText"/>
        <w:ind w:left="1047"/>
      </w:pPr>
      <w:r>
        <w:rPr>
          <w:spacing w:val="14"/>
        </w:rPr>
        <w:t>第 </w:t>
      </w:r>
      <w:r>
        <w:rPr/>
        <w:t>36</w:t>
      </w:r>
      <w:r>
        <w:rPr>
          <w:spacing w:val="6"/>
        </w:rPr>
        <w:t> 條</w:t>
      </w:r>
    </w:p>
    <w:p>
      <w:pPr>
        <w:pStyle w:val="BodyText"/>
      </w:pPr>
    </w:p>
    <w:p>
      <w:pPr>
        <w:pStyle w:val="BodyText"/>
        <w:spacing w:before="3"/>
        <w:rPr>
          <w:sz w:val="26"/>
        </w:rPr>
      </w:pPr>
    </w:p>
    <w:p>
      <w:pPr>
        <w:pStyle w:val="BodyText"/>
        <w:ind w:left="1047"/>
      </w:pPr>
      <w:r>
        <w:rPr>
          <w:spacing w:val="14"/>
        </w:rPr>
        <w:t>第 </w:t>
      </w:r>
      <w:r>
        <w:rPr/>
        <w:t>37</w:t>
      </w:r>
      <w:r>
        <w:rPr>
          <w:spacing w:val="6"/>
        </w:rPr>
        <w:t> 條</w:t>
      </w:r>
    </w:p>
    <w:p>
      <w:pPr>
        <w:pStyle w:val="BodyText"/>
      </w:pPr>
    </w:p>
    <w:p>
      <w:pPr>
        <w:pStyle w:val="BodyText"/>
      </w:pPr>
    </w:p>
    <w:p>
      <w:pPr>
        <w:pStyle w:val="BodyText"/>
      </w:pPr>
    </w:p>
    <w:p>
      <w:pPr>
        <w:pStyle w:val="BodyText"/>
      </w:pPr>
    </w:p>
    <w:p>
      <w:pPr>
        <w:pStyle w:val="BodyText"/>
      </w:pPr>
    </w:p>
    <w:p>
      <w:pPr>
        <w:pStyle w:val="BodyText"/>
        <w:spacing w:before="5"/>
        <w:rPr>
          <w:sz w:val="23"/>
        </w:rPr>
      </w:pPr>
    </w:p>
    <w:p>
      <w:pPr>
        <w:pStyle w:val="BodyText"/>
        <w:ind w:left="1047"/>
      </w:pPr>
      <w:r>
        <w:rPr>
          <w:spacing w:val="14"/>
        </w:rPr>
        <w:t>第 </w:t>
      </w:r>
      <w:r>
        <w:rPr/>
        <w:t>38</w:t>
      </w:r>
      <w:r>
        <w:rPr>
          <w:spacing w:val="6"/>
        </w:rPr>
        <w:t> 條</w:t>
      </w:r>
    </w:p>
    <w:p>
      <w:pPr>
        <w:pStyle w:val="BodyText"/>
      </w:pPr>
    </w:p>
    <w:p>
      <w:pPr>
        <w:pStyle w:val="BodyText"/>
      </w:pPr>
    </w:p>
    <w:p>
      <w:pPr>
        <w:pStyle w:val="BodyText"/>
      </w:pPr>
    </w:p>
    <w:p>
      <w:pPr>
        <w:pStyle w:val="BodyText"/>
      </w:pPr>
    </w:p>
    <w:p>
      <w:pPr>
        <w:pStyle w:val="BodyText"/>
        <w:spacing w:before="187"/>
        <w:ind w:left="1047"/>
      </w:pPr>
      <w:r>
        <w:rPr>
          <w:spacing w:val="14"/>
        </w:rPr>
        <w:t>第 </w:t>
      </w:r>
      <w:r>
        <w:rPr/>
        <w:t>39</w:t>
      </w:r>
      <w:r>
        <w:rPr>
          <w:spacing w:val="6"/>
        </w:rPr>
        <w:t> 條</w:t>
      </w:r>
    </w:p>
    <w:p>
      <w:pPr>
        <w:pStyle w:val="BodyText"/>
      </w:pPr>
    </w:p>
    <w:p>
      <w:pPr>
        <w:pStyle w:val="BodyText"/>
      </w:pPr>
    </w:p>
    <w:p>
      <w:pPr>
        <w:pStyle w:val="BodyText"/>
      </w:pPr>
    </w:p>
    <w:p>
      <w:pPr>
        <w:pStyle w:val="BodyText"/>
      </w:pPr>
    </w:p>
    <w:p>
      <w:pPr>
        <w:pStyle w:val="BodyText"/>
        <w:spacing w:before="7"/>
        <w:rPr>
          <w:sz w:val="14"/>
        </w:rPr>
      </w:pPr>
    </w:p>
    <w:p>
      <w:pPr>
        <w:pStyle w:val="BodyText"/>
        <w:ind w:left="1047"/>
      </w:pPr>
      <w:r>
        <w:rPr>
          <w:spacing w:val="14"/>
        </w:rPr>
        <w:t>第 </w:t>
      </w:r>
      <w:r>
        <w:rPr/>
        <w:t>40</w:t>
      </w:r>
      <w:r>
        <w:rPr>
          <w:spacing w:val="6"/>
        </w:rPr>
        <w:t> 條</w:t>
      </w:r>
    </w:p>
    <w:p>
      <w:pPr>
        <w:pStyle w:val="ListParagraph"/>
        <w:numPr>
          <w:ilvl w:val="0"/>
          <w:numId w:val="14"/>
        </w:numPr>
        <w:tabs>
          <w:tab w:pos="764" w:val="left" w:leader="none"/>
        </w:tabs>
        <w:spacing w:line="247" w:lineRule="auto" w:before="48" w:after="0"/>
        <w:ind w:left="763" w:right="164" w:hanging="369"/>
        <w:jc w:val="both"/>
        <w:rPr>
          <w:sz w:val="22"/>
        </w:rPr>
      </w:pPr>
      <w:r>
        <w:rPr/>
        <w:br w:type="column"/>
      </w:r>
      <w:r>
        <w:rPr>
          <w:spacing w:val="11"/>
          <w:position w:val="1"/>
          <w:sz w:val="22"/>
        </w:rPr>
        <w:t>當事人依前條第一項規定撤回訴訟實施權之授與者，該部分訴訟程序當</w:t>
      </w:r>
      <w:r>
        <w:rPr>
          <w:spacing w:val="11"/>
          <w:sz w:val="22"/>
        </w:rPr>
        <w:t>然停止，該當事人應即聲明承受訴訟，法院亦得依職權命該當事人承受</w:t>
      </w:r>
      <w:r>
        <w:rPr>
          <w:spacing w:val="5"/>
          <w:sz w:val="22"/>
        </w:rPr>
        <w:t>訴訟。</w:t>
      </w:r>
    </w:p>
    <w:p>
      <w:pPr>
        <w:pStyle w:val="ListParagraph"/>
        <w:numPr>
          <w:ilvl w:val="0"/>
          <w:numId w:val="14"/>
        </w:numPr>
        <w:tabs>
          <w:tab w:pos="764" w:val="left" w:leader="none"/>
        </w:tabs>
        <w:spacing w:line="247" w:lineRule="auto" w:before="121" w:after="0"/>
        <w:ind w:left="763" w:right="164" w:hanging="369"/>
        <w:jc w:val="left"/>
        <w:rPr>
          <w:sz w:val="22"/>
        </w:rPr>
      </w:pPr>
      <w:r>
        <w:rPr>
          <w:spacing w:val="11"/>
          <w:position w:val="1"/>
          <w:sz w:val="22"/>
        </w:rPr>
        <w:t>財團法人或公益社團法人依前條規定起訴後，因部分當事人撤回訴訟實</w:t>
      </w:r>
      <w:r>
        <w:rPr>
          <w:spacing w:val="11"/>
          <w:sz w:val="22"/>
        </w:rPr>
        <w:t>施權之授與，致其餘部分不足二十人者，仍得就其餘部分繼續進行訴</w:t>
      </w:r>
      <w:r>
        <w:rPr>
          <w:spacing w:val="80"/>
          <w:w w:val="150"/>
          <w:sz w:val="22"/>
        </w:rPr>
        <w:t> </w:t>
      </w:r>
      <w:r>
        <w:rPr>
          <w:spacing w:val="2"/>
          <w:sz w:val="22"/>
        </w:rPr>
        <w:t>訟。</w:t>
      </w:r>
    </w:p>
    <w:p>
      <w:pPr>
        <w:pStyle w:val="BodyText"/>
        <w:spacing w:before="4"/>
        <w:rPr>
          <w:sz w:val="25"/>
        </w:rPr>
      </w:pPr>
    </w:p>
    <w:p>
      <w:pPr>
        <w:pStyle w:val="BodyText"/>
        <w:spacing w:line="244" w:lineRule="auto"/>
        <w:ind w:left="763" w:right="164"/>
      </w:pPr>
      <w:r>
        <w:rPr>
          <w:spacing w:val="11"/>
        </w:rPr>
        <w:t>各當事人於第三十四條第一項及第二項之損害賠償請求權，其時效應分</w:t>
      </w:r>
      <w:r>
        <w:rPr>
          <w:spacing w:val="7"/>
        </w:rPr>
        <w:t>別計算。</w:t>
      </w:r>
    </w:p>
    <w:p>
      <w:pPr>
        <w:pStyle w:val="BodyText"/>
        <w:spacing w:before="9"/>
        <w:rPr>
          <w:sz w:val="25"/>
        </w:rPr>
      </w:pPr>
    </w:p>
    <w:p>
      <w:pPr>
        <w:pStyle w:val="ListParagraph"/>
        <w:numPr>
          <w:ilvl w:val="0"/>
          <w:numId w:val="15"/>
        </w:numPr>
        <w:tabs>
          <w:tab w:pos="764" w:val="left" w:leader="none"/>
        </w:tabs>
        <w:spacing w:line="240" w:lineRule="auto" w:before="1" w:after="0"/>
        <w:ind w:left="763" w:right="164" w:hanging="369"/>
        <w:jc w:val="left"/>
        <w:rPr>
          <w:sz w:val="22"/>
        </w:rPr>
      </w:pPr>
      <w:r>
        <w:rPr>
          <w:spacing w:val="11"/>
          <w:position w:val="1"/>
          <w:sz w:val="22"/>
        </w:rPr>
        <w:t>財團法人或公益社團法人就當事人授與訴訟實施權之事件，有為一切訴</w:t>
      </w:r>
      <w:r>
        <w:rPr>
          <w:spacing w:val="11"/>
          <w:sz w:val="22"/>
        </w:rPr>
        <w:t>訟行為之權。但當事人得限制其為捨棄、撤回或和解。</w:t>
      </w:r>
    </w:p>
    <w:p>
      <w:pPr>
        <w:pStyle w:val="ListParagraph"/>
        <w:numPr>
          <w:ilvl w:val="0"/>
          <w:numId w:val="15"/>
        </w:numPr>
        <w:tabs>
          <w:tab w:pos="764" w:val="left" w:leader="none"/>
        </w:tabs>
        <w:spacing w:line="240" w:lineRule="auto" w:before="128" w:after="0"/>
        <w:ind w:left="763" w:right="0" w:hanging="369"/>
        <w:jc w:val="left"/>
        <w:rPr>
          <w:sz w:val="22"/>
        </w:rPr>
      </w:pPr>
      <w:r>
        <w:rPr>
          <w:spacing w:val="13"/>
          <w:position w:val="1"/>
          <w:sz w:val="22"/>
        </w:rPr>
        <w:t>前項當事人中一人所為之限制，其效力不及於其他當事人。</w:t>
      </w:r>
    </w:p>
    <w:p>
      <w:pPr>
        <w:pStyle w:val="ListParagraph"/>
        <w:numPr>
          <w:ilvl w:val="0"/>
          <w:numId w:val="15"/>
        </w:numPr>
        <w:tabs>
          <w:tab w:pos="764" w:val="left" w:leader="none"/>
        </w:tabs>
        <w:spacing w:line="252" w:lineRule="auto" w:before="124" w:after="0"/>
        <w:ind w:left="763" w:right="164" w:hanging="369"/>
        <w:jc w:val="left"/>
        <w:rPr>
          <w:sz w:val="22"/>
        </w:rPr>
      </w:pPr>
      <w:r>
        <w:rPr>
          <w:spacing w:val="11"/>
          <w:position w:val="1"/>
          <w:sz w:val="22"/>
        </w:rPr>
        <w:t>第一項之限制，應於第三十四條第一項之文書內表明，或以書狀提出於</w:t>
      </w:r>
      <w:r>
        <w:rPr>
          <w:spacing w:val="5"/>
          <w:sz w:val="22"/>
        </w:rPr>
        <w:t>法院。</w:t>
      </w:r>
    </w:p>
    <w:p>
      <w:pPr>
        <w:pStyle w:val="BodyText"/>
        <w:spacing w:before="1"/>
        <w:rPr>
          <w:sz w:val="25"/>
        </w:rPr>
      </w:pPr>
    </w:p>
    <w:p>
      <w:pPr>
        <w:pStyle w:val="ListParagraph"/>
        <w:numPr>
          <w:ilvl w:val="0"/>
          <w:numId w:val="16"/>
        </w:numPr>
        <w:tabs>
          <w:tab w:pos="764" w:val="left" w:leader="none"/>
        </w:tabs>
        <w:spacing w:line="240" w:lineRule="auto" w:before="0" w:after="0"/>
        <w:ind w:left="763" w:right="164" w:hanging="369"/>
        <w:jc w:val="left"/>
        <w:rPr>
          <w:sz w:val="22"/>
        </w:rPr>
      </w:pPr>
      <w:r>
        <w:rPr>
          <w:spacing w:val="11"/>
          <w:position w:val="1"/>
          <w:sz w:val="22"/>
        </w:rPr>
        <w:t>當事人對於第三十四條訴訟之判決不服者，得於財團法人或公益社團法</w:t>
      </w:r>
      <w:r>
        <w:rPr>
          <w:spacing w:val="11"/>
          <w:sz w:val="22"/>
        </w:rPr>
        <w:t>人上訴期間屆滿前，撤回訴訟實施權之授與，依法提起上訴。</w:t>
      </w:r>
    </w:p>
    <w:p>
      <w:pPr>
        <w:pStyle w:val="ListParagraph"/>
        <w:numPr>
          <w:ilvl w:val="0"/>
          <w:numId w:val="16"/>
        </w:numPr>
        <w:tabs>
          <w:tab w:pos="764" w:val="left" w:leader="none"/>
        </w:tabs>
        <w:spacing w:line="252" w:lineRule="auto" w:before="129" w:after="0"/>
        <w:ind w:left="763" w:right="164" w:hanging="369"/>
        <w:jc w:val="left"/>
        <w:rPr>
          <w:sz w:val="22"/>
        </w:rPr>
      </w:pPr>
      <w:r>
        <w:rPr>
          <w:spacing w:val="11"/>
          <w:position w:val="1"/>
          <w:sz w:val="22"/>
        </w:rPr>
        <w:t>財團法人或公益社團法人於收受判決書正本後，應即將其結果通知當事</w:t>
      </w:r>
      <w:r>
        <w:rPr>
          <w:spacing w:val="11"/>
          <w:sz w:val="22"/>
        </w:rPr>
        <w:t>人，並應於七日內將是否提起上訴之意旨以書面通知當事人。</w:t>
      </w:r>
    </w:p>
    <w:p>
      <w:pPr>
        <w:pStyle w:val="BodyText"/>
        <w:rPr>
          <w:sz w:val="24"/>
        </w:rPr>
      </w:pPr>
    </w:p>
    <w:p>
      <w:pPr>
        <w:pStyle w:val="ListParagraph"/>
        <w:numPr>
          <w:ilvl w:val="0"/>
          <w:numId w:val="17"/>
        </w:numPr>
        <w:tabs>
          <w:tab w:pos="764" w:val="left" w:leader="none"/>
        </w:tabs>
        <w:spacing w:line="252" w:lineRule="auto" w:before="0" w:after="0"/>
        <w:ind w:left="763" w:right="164" w:hanging="369"/>
        <w:jc w:val="left"/>
        <w:rPr>
          <w:sz w:val="22"/>
        </w:rPr>
      </w:pPr>
      <w:r>
        <w:rPr>
          <w:spacing w:val="11"/>
          <w:position w:val="1"/>
          <w:sz w:val="22"/>
        </w:rPr>
        <w:t>財團法人或公益社團法人應將第三十四條訴訟結果所得之賠償，扣除訴</w:t>
      </w:r>
      <w:r>
        <w:rPr>
          <w:spacing w:val="11"/>
          <w:sz w:val="22"/>
        </w:rPr>
        <w:t>訟必要費用後，分別交付授與訴訟實施權之當事人。</w:t>
      </w:r>
    </w:p>
    <w:p>
      <w:pPr>
        <w:pStyle w:val="ListParagraph"/>
        <w:numPr>
          <w:ilvl w:val="0"/>
          <w:numId w:val="17"/>
        </w:numPr>
        <w:tabs>
          <w:tab w:pos="764" w:val="left" w:leader="none"/>
        </w:tabs>
        <w:spacing w:line="240" w:lineRule="auto" w:before="113" w:after="0"/>
        <w:ind w:left="763" w:right="164" w:hanging="369"/>
        <w:jc w:val="left"/>
        <w:rPr>
          <w:sz w:val="22"/>
        </w:rPr>
      </w:pPr>
      <w:r>
        <w:rPr>
          <w:spacing w:val="11"/>
          <w:position w:val="1"/>
          <w:sz w:val="22"/>
        </w:rPr>
        <w:t>提起第三十四條第一項訴訟之財團法人或公益社團法人，均不得請求報</w:t>
      </w:r>
      <w:r>
        <w:rPr>
          <w:spacing w:val="2"/>
          <w:sz w:val="22"/>
        </w:rPr>
        <w:t>酬。</w:t>
      </w:r>
    </w:p>
    <w:p>
      <w:pPr>
        <w:pStyle w:val="BodyText"/>
        <w:spacing w:before="11"/>
        <w:rPr>
          <w:sz w:val="25"/>
        </w:rPr>
      </w:pPr>
    </w:p>
    <w:p>
      <w:pPr>
        <w:pStyle w:val="BodyText"/>
        <w:spacing w:line="254" w:lineRule="auto" w:before="1"/>
        <w:ind w:left="763" w:right="402"/>
      </w:pPr>
      <w:r>
        <w:rPr>
          <w:spacing w:val="11"/>
        </w:rPr>
        <w:t>依本章規定提起訴訟之財團法人或公益社團法人，應委任律師代理訴</w:t>
      </w:r>
      <w:r>
        <w:rPr>
          <w:spacing w:val="2"/>
        </w:rPr>
        <w:t>訟。</w:t>
      </w:r>
    </w:p>
    <w:p>
      <w:pPr>
        <w:spacing w:after="0" w:line="254" w:lineRule="auto"/>
        <w:sectPr>
          <w:pgSz w:w="11900" w:h="16840"/>
          <w:pgMar w:top="840" w:bottom="280" w:left="820" w:right="760"/>
          <w:cols w:num="2" w:equalWidth="0">
            <w:col w:w="1985" w:space="40"/>
            <w:col w:w="8295"/>
          </w:cols>
        </w:sectPr>
      </w:pPr>
    </w:p>
    <w:p>
      <w:pPr>
        <w:pStyle w:val="BodyText"/>
        <w:spacing w:before="5"/>
        <w:rPr>
          <w:sz w:val="19"/>
        </w:rPr>
      </w:pPr>
    </w:p>
    <w:p>
      <w:pPr>
        <w:pStyle w:val="BodyText"/>
        <w:spacing w:before="59"/>
        <w:ind w:left="778"/>
      </w:pPr>
      <w:r>
        <w:rPr>
          <w:spacing w:val="21"/>
        </w:rPr>
        <w:t>第 五 章 罰則</w:t>
      </w:r>
    </w:p>
    <w:p>
      <w:pPr>
        <w:pStyle w:val="BodyText"/>
        <w:spacing w:before="1"/>
        <w:rPr>
          <w:sz w:val="12"/>
        </w:rPr>
      </w:pPr>
    </w:p>
    <w:p>
      <w:pPr>
        <w:spacing w:after="0"/>
        <w:rPr>
          <w:sz w:val="12"/>
        </w:rPr>
        <w:sectPr>
          <w:type w:val="continuous"/>
          <w:pgSz w:w="11900" w:h="16840"/>
          <w:pgMar w:top="760" w:bottom="280" w:left="820" w:right="760"/>
        </w:sectPr>
      </w:pPr>
    </w:p>
    <w:p>
      <w:pPr>
        <w:pStyle w:val="BodyText"/>
        <w:spacing w:before="89"/>
        <w:ind w:left="1047"/>
      </w:pPr>
      <w:r>
        <w:rPr>
          <w:spacing w:val="14"/>
        </w:rPr>
        <w:t>第 </w:t>
      </w:r>
      <w:r>
        <w:rPr/>
        <w:t>41</w:t>
      </w:r>
      <w:r>
        <w:rPr>
          <w:spacing w:val="6"/>
        </w:rPr>
        <w:t> 條</w:t>
      </w:r>
    </w:p>
    <w:p>
      <w:pPr>
        <w:pStyle w:val="BodyText"/>
      </w:pPr>
    </w:p>
    <w:p>
      <w:pPr>
        <w:pStyle w:val="BodyText"/>
      </w:pPr>
    </w:p>
    <w:p>
      <w:pPr>
        <w:pStyle w:val="BodyText"/>
      </w:pPr>
    </w:p>
    <w:p>
      <w:pPr>
        <w:pStyle w:val="BodyText"/>
        <w:spacing w:before="13"/>
        <w:rPr>
          <w:sz w:val="27"/>
        </w:rPr>
      </w:pPr>
    </w:p>
    <w:p>
      <w:pPr>
        <w:pStyle w:val="BodyText"/>
        <w:ind w:left="1047"/>
      </w:pPr>
      <w:r>
        <w:rPr>
          <w:spacing w:val="14"/>
        </w:rPr>
        <w:t>第 </w:t>
      </w:r>
      <w:r>
        <w:rPr/>
        <w:t>42</w:t>
      </w:r>
      <w:r>
        <w:rPr>
          <w:spacing w:val="6"/>
        </w:rPr>
        <w:t> 條</w:t>
      </w:r>
    </w:p>
    <w:p>
      <w:pPr>
        <w:pStyle w:val="BodyText"/>
      </w:pPr>
    </w:p>
    <w:p>
      <w:pPr>
        <w:pStyle w:val="BodyText"/>
      </w:pPr>
    </w:p>
    <w:p>
      <w:pPr>
        <w:pStyle w:val="BodyText"/>
      </w:pPr>
    </w:p>
    <w:p>
      <w:pPr>
        <w:pStyle w:val="BodyText"/>
        <w:rPr>
          <w:sz w:val="29"/>
        </w:rPr>
      </w:pPr>
    </w:p>
    <w:p>
      <w:pPr>
        <w:pStyle w:val="BodyText"/>
        <w:ind w:left="1047"/>
      </w:pPr>
      <w:r>
        <w:rPr>
          <w:spacing w:val="14"/>
        </w:rPr>
        <w:t>第 </w:t>
      </w:r>
      <w:r>
        <w:rPr/>
        <w:t>43</w:t>
      </w:r>
      <w:r>
        <w:rPr>
          <w:spacing w:val="6"/>
        </w:rPr>
        <w:t> 條</w:t>
      </w:r>
    </w:p>
    <w:p>
      <w:pPr>
        <w:pStyle w:val="BodyText"/>
        <w:spacing w:line="247" w:lineRule="auto" w:before="59"/>
        <w:ind w:left="763" w:right="164"/>
        <w:jc w:val="both"/>
      </w:pPr>
      <w:r>
        <w:rPr/>
        <w:br w:type="column"/>
      </w:r>
      <w:r>
        <w:rPr>
          <w:spacing w:val="11"/>
        </w:rPr>
        <w:t>意圖為自己或第三人不法之利益或損害他人之利益，而違反第六條第一項、第十五條、第十六條、第十九條、第二十條第一項規定，或中央目的事業主管機關依第二十一條限制國際傳輸之命令或處分，足生損害於他人者，處五年以下有期徒刑，得併科新臺幣一百萬元以下罰金。</w:t>
      </w:r>
    </w:p>
    <w:p>
      <w:pPr>
        <w:pStyle w:val="BodyText"/>
        <w:spacing w:before="4"/>
        <w:rPr>
          <w:sz w:val="25"/>
        </w:rPr>
      </w:pPr>
    </w:p>
    <w:p>
      <w:pPr>
        <w:pStyle w:val="BodyText"/>
        <w:spacing w:line="252" w:lineRule="auto"/>
        <w:ind w:left="763" w:right="164"/>
        <w:jc w:val="both"/>
      </w:pPr>
      <w:r>
        <w:rPr>
          <w:spacing w:val="11"/>
        </w:rPr>
        <w:t>意圖為自己或第三人不法之利益或損害他人之利益，而對於個人資料檔案為非法變更、刪除或以其他非法方法，致妨害個人資料檔案之正確而足生損害於他人者，處五年以下有期徒刑、拘役或科或併科新臺幣一百</w:t>
      </w:r>
      <w:r>
        <w:rPr>
          <w:spacing w:val="10"/>
        </w:rPr>
        <w:t>萬元以下罰金。</w:t>
      </w:r>
    </w:p>
    <w:p>
      <w:pPr>
        <w:pStyle w:val="BodyText"/>
        <w:spacing w:before="9"/>
        <w:rPr>
          <w:sz w:val="24"/>
        </w:rPr>
      </w:pPr>
    </w:p>
    <w:p>
      <w:pPr>
        <w:pStyle w:val="BodyText"/>
        <w:spacing w:line="244" w:lineRule="auto"/>
        <w:ind w:left="763" w:right="164"/>
        <w:jc w:val="both"/>
      </w:pPr>
      <w:r>
        <w:rPr>
          <w:spacing w:val="11"/>
        </w:rPr>
        <w:t>中華民國人民在中華民國領域外對中華民國人民犯前二條之罪者，亦適</w:t>
      </w:r>
      <w:r>
        <w:rPr>
          <w:spacing w:val="5"/>
        </w:rPr>
        <w:t>用之。</w:t>
      </w:r>
    </w:p>
    <w:p>
      <w:pPr>
        <w:spacing w:after="0" w:line="244" w:lineRule="auto"/>
        <w:jc w:val="both"/>
        <w:sectPr>
          <w:type w:val="continuous"/>
          <w:pgSz w:w="11900" w:h="16840"/>
          <w:pgMar w:top="760" w:bottom="280" w:left="820" w:right="760"/>
          <w:cols w:num="2" w:equalWidth="0">
            <w:col w:w="1985" w:space="40"/>
            <w:col w:w="8295"/>
          </w:cols>
        </w:sectPr>
      </w:pPr>
    </w:p>
    <w:p>
      <w:pPr>
        <w:pStyle w:val="BodyText"/>
        <w:spacing w:before="73"/>
        <w:ind w:left="1047"/>
      </w:pPr>
      <w:r>
        <w:rPr>
          <w:spacing w:val="14"/>
        </w:rPr>
        <w:t>第 </w:t>
      </w:r>
      <w:r>
        <w:rPr/>
        <w:t>44</w:t>
      </w:r>
      <w:r>
        <w:rPr>
          <w:spacing w:val="6"/>
        </w:rPr>
        <w:t> 條</w:t>
      </w:r>
    </w:p>
    <w:p>
      <w:pPr>
        <w:pStyle w:val="BodyText"/>
      </w:pPr>
    </w:p>
    <w:p>
      <w:pPr>
        <w:pStyle w:val="BodyText"/>
        <w:spacing w:before="3"/>
        <w:rPr>
          <w:sz w:val="26"/>
        </w:rPr>
      </w:pPr>
    </w:p>
    <w:p>
      <w:pPr>
        <w:pStyle w:val="BodyText"/>
        <w:ind w:left="1047"/>
      </w:pPr>
      <w:r>
        <w:rPr>
          <w:spacing w:val="14"/>
        </w:rPr>
        <w:t>第 </w:t>
      </w:r>
      <w:r>
        <w:rPr/>
        <w:t>45</w:t>
      </w:r>
      <w:r>
        <w:rPr>
          <w:spacing w:val="6"/>
        </w:rPr>
        <w:t> 條</w:t>
      </w:r>
    </w:p>
    <w:p>
      <w:pPr>
        <w:pStyle w:val="BodyText"/>
      </w:pPr>
    </w:p>
    <w:p>
      <w:pPr>
        <w:pStyle w:val="BodyText"/>
        <w:spacing w:before="4"/>
        <w:rPr>
          <w:sz w:val="27"/>
        </w:rPr>
      </w:pPr>
    </w:p>
    <w:p>
      <w:pPr>
        <w:pStyle w:val="BodyText"/>
        <w:ind w:left="1047"/>
      </w:pPr>
      <w:r>
        <w:rPr>
          <w:spacing w:val="14"/>
        </w:rPr>
        <w:t>第 </w:t>
      </w:r>
      <w:r>
        <w:rPr/>
        <w:t>46</w:t>
      </w:r>
      <w:r>
        <w:rPr>
          <w:spacing w:val="6"/>
        </w:rPr>
        <w:t> 條</w:t>
      </w:r>
    </w:p>
    <w:p>
      <w:pPr>
        <w:pStyle w:val="BodyText"/>
        <w:spacing w:before="12"/>
        <w:rPr>
          <w:sz w:val="25"/>
        </w:rPr>
      </w:pPr>
    </w:p>
    <w:p>
      <w:pPr>
        <w:pStyle w:val="BodyText"/>
        <w:ind w:left="1047"/>
      </w:pPr>
      <w:r>
        <w:rPr>
          <w:spacing w:val="14"/>
        </w:rPr>
        <w:t>第 </w:t>
      </w:r>
      <w:r>
        <w:rPr/>
        <w:t>47</w:t>
      </w:r>
      <w:r>
        <w:rPr>
          <w:spacing w:val="6"/>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tabs>
          <w:tab w:pos="2419" w:val="left" w:leader="none"/>
        </w:tabs>
        <w:ind w:left="1047"/>
        <w:rPr>
          <w:rFonts w:ascii="Consolas" w:eastAsia="Consolas"/>
          <w:i/>
          <w:sz w:val="23"/>
        </w:rPr>
      </w:pPr>
      <w:r>
        <w:rPr/>
        <w:t>第</w:t>
      </w:r>
      <w:r>
        <w:rPr>
          <w:spacing w:val="28"/>
        </w:rPr>
        <w:t> </w:t>
      </w:r>
      <w:r>
        <w:rPr/>
        <w:t>48</w:t>
      </w:r>
      <w:r>
        <w:rPr>
          <w:spacing w:val="22"/>
        </w:rPr>
        <w:t> </w:t>
      </w:r>
      <w:r>
        <w:rPr>
          <w:spacing w:val="-10"/>
        </w:rPr>
        <w:t>條</w:t>
      </w:r>
      <w:r>
        <w:rPr/>
        <w:tab/>
      </w:r>
      <w:r>
        <w:rPr>
          <w:rFonts w:ascii="Consolas" w:eastAsia="Consolas"/>
          <w:i/>
          <w:spacing w:val="-10"/>
          <w:position w:val="1"/>
          <w:sz w:val="23"/>
        </w:rPr>
        <w:t>1</w:t>
      </w: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spacing w:before="11"/>
        <w:rPr>
          <w:rFonts w:ascii="Consolas"/>
          <w:i/>
          <w:sz w:val="19"/>
        </w:rPr>
      </w:pPr>
    </w:p>
    <w:p>
      <w:pPr>
        <w:pStyle w:val="Heading1"/>
        <w:ind w:right="0"/>
        <w:rPr>
          <w:i/>
        </w:rPr>
      </w:pPr>
      <w:r>
        <w:rPr>
          <w:i/>
          <w:w w:val="101"/>
        </w:rPr>
        <w:t>2</w:t>
      </w: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spacing w:before="154"/>
        <w:ind w:left="0" w:right="0" w:firstLine="0"/>
        <w:jc w:val="right"/>
        <w:rPr>
          <w:rFonts w:ascii="Consolas"/>
          <w:i/>
          <w:sz w:val="23"/>
        </w:rPr>
      </w:pPr>
      <w:r>
        <w:rPr>
          <w:rFonts w:ascii="Consolas"/>
          <w:i/>
          <w:w w:val="101"/>
          <w:sz w:val="23"/>
        </w:rPr>
        <w:t>3</w:t>
      </w: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rPr>
      </w:pPr>
    </w:p>
    <w:p>
      <w:pPr>
        <w:pStyle w:val="BodyText"/>
        <w:rPr>
          <w:rFonts w:ascii="Consolas"/>
          <w:i/>
          <w:sz w:val="28"/>
        </w:rPr>
      </w:pPr>
    </w:p>
    <w:p>
      <w:pPr>
        <w:pStyle w:val="BodyText"/>
        <w:ind w:left="1047"/>
      </w:pPr>
      <w:r>
        <w:rPr>
          <w:spacing w:val="14"/>
        </w:rPr>
        <w:t>第 </w:t>
      </w:r>
      <w:r>
        <w:rPr/>
        <w:t>49</w:t>
      </w:r>
      <w:r>
        <w:rPr>
          <w:spacing w:val="6"/>
        </w:rPr>
        <w:t> 條</w:t>
      </w:r>
    </w:p>
    <w:p>
      <w:pPr>
        <w:pStyle w:val="BodyText"/>
      </w:pPr>
    </w:p>
    <w:p>
      <w:pPr>
        <w:pStyle w:val="BodyText"/>
      </w:pPr>
    </w:p>
    <w:p>
      <w:pPr>
        <w:pStyle w:val="BodyText"/>
        <w:spacing w:before="9"/>
        <w:rPr>
          <w:sz w:val="27"/>
        </w:rPr>
      </w:pPr>
    </w:p>
    <w:p>
      <w:pPr>
        <w:pStyle w:val="BodyText"/>
        <w:ind w:left="1047"/>
      </w:pPr>
      <w:r>
        <w:rPr>
          <w:spacing w:val="14"/>
        </w:rPr>
        <w:t>第 </w:t>
      </w:r>
      <w:r>
        <w:rPr/>
        <w:t>50</w:t>
      </w:r>
      <w:r>
        <w:rPr>
          <w:spacing w:val="6"/>
        </w:rPr>
        <w:t> 條</w:t>
      </w:r>
    </w:p>
    <w:p>
      <w:pPr>
        <w:pStyle w:val="BodyText"/>
      </w:pPr>
    </w:p>
    <w:p>
      <w:pPr>
        <w:pStyle w:val="BodyText"/>
      </w:pPr>
    </w:p>
    <w:p>
      <w:pPr>
        <w:pStyle w:val="BodyText"/>
        <w:spacing w:before="6"/>
        <w:rPr>
          <w:sz w:val="24"/>
        </w:rPr>
      </w:pPr>
    </w:p>
    <w:p>
      <w:pPr>
        <w:pStyle w:val="BodyText"/>
        <w:ind w:left="778"/>
      </w:pPr>
      <w:r>
        <w:rPr>
          <w:spacing w:val="21"/>
        </w:rPr>
        <w:t>第 六 章 附則</w:t>
      </w:r>
    </w:p>
    <w:p>
      <w:pPr>
        <w:pStyle w:val="BodyText"/>
        <w:spacing w:before="13"/>
        <w:rPr>
          <w:sz w:val="17"/>
        </w:rPr>
      </w:pPr>
    </w:p>
    <w:p>
      <w:pPr>
        <w:pStyle w:val="Heading1"/>
        <w:ind w:right="0"/>
        <w:rPr>
          <w:i/>
        </w:rPr>
      </w:pPr>
      <w:r>
        <w:rPr>
          <w:i/>
          <w:w w:val="101"/>
        </w:rPr>
        <w:t>1</w:t>
      </w:r>
    </w:p>
    <w:p>
      <w:pPr>
        <w:pStyle w:val="BodyText"/>
        <w:spacing w:line="244" w:lineRule="auto" w:before="43"/>
        <w:ind w:left="199" w:right="164"/>
      </w:pPr>
      <w:r>
        <w:rPr/>
        <w:br w:type="column"/>
      </w:r>
      <w:r>
        <w:rPr>
          <w:spacing w:val="11"/>
        </w:rPr>
        <w:t>公務員假借職務上之權力、機會或方法，犯本章之罪者，加重其刑至二</w:t>
      </w:r>
      <w:r>
        <w:rPr>
          <w:spacing w:val="7"/>
        </w:rPr>
        <w:t>分之一。</w:t>
      </w:r>
    </w:p>
    <w:p>
      <w:pPr>
        <w:pStyle w:val="BodyText"/>
        <w:spacing w:before="5"/>
        <w:rPr>
          <w:sz w:val="25"/>
        </w:rPr>
      </w:pPr>
    </w:p>
    <w:p>
      <w:pPr>
        <w:pStyle w:val="BodyText"/>
        <w:spacing w:line="254" w:lineRule="auto"/>
        <w:ind w:left="199" w:right="164"/>
      </w:pPr>
      <w:r>
        <w:rPr>
          <w:spacing w:val="11"/>
        </w:rPr>
        <w:t>本章之罪，須告訴乃論。但犯第四十一條之罪者，或對公務機關犯第四</w:t>
      </w:r>
      <w:r>
        <w:rPr>
          <w:spacing w:val="10"/>
        </w:rPr>
        <w:t>十二條之罪者，不在此限。</w:t>
      </w:r>
    </w:p>
    <w:p>
      <w:pPr>
        <w:pStyle w:val="BodyText"/>
        <w:spacing w:before="9"/>
        <w:rPr>
          <w:sz w:val="24"/>
        </w:rPr>
      </w:pPr>
    </w:p>
    <w:p>
      <w:pPr>
        <w:pStyle w:val="BodyText"/>
        <w:ind w:left="199"/>
      </w:pPr>
      <w:r>
        <w:rPr>
          <w:spacing w:val="12"/>
        </w:rPr>
        <w:t>犯本章之罪，其他法律有較重處罰規定者，從其規定。</w:t>
      </w:r>
    </w:p>
    <w:p>
      <w:pPr>
        <w:pStyle w:val="BodyText"/>
        <w:spacing w:before="12"/>
        <w:rPr>
          <w:sz w:val="25"/>
        </w:rPr>
      </w:pPr>
    </w:p>
    <w:p>
      <w:pPr>
        <w:pStyle w:val="BodyText"/>
        <w:ind w:left="199"/>
      </w:pPr>
      <w:r>
        <w:rPr>
          <w:spacing w:val="13"/>
        </w:rPr>
        <w:t>非公務機關有下列情事之一者，由中央目的事業主管機關或直轄市、縣</w:t>
      </w:r>
    </w:p>
    <w:p>
      <w:pPr>
        <w:pStyle w:val="BodyText"/>
        <w:spacing w:line="254" w:lineRule="auto" w:before="5"/>
        <w:ind w:left="199" w:right="164"/>
      </w:pPr>
      <w:r>
        <w:rPr>
          <w:spacing w:val="12"/>
        </w:rPr>
        <w:t>（市）</w:t>
      </w:r>
      <w:r>
        <w:rPr>
          <w:spacing w:val="11"/>
        </w:rPr>
        <w:t>政府處新臺幣五萬元以上五十萬元以下罰鍰，並令限期改正，屆</w:t>
      </w:r>
      <w:r>
        <w:rPr>
          <w:spacing w:val="10"/>
        </w:rPr>
        <w:t>期未改正者，按次處罰之：</w:t>
      </w:r>
    </w:p>
    <w:p>
      <w:pPr>
        <w:pStyle w:val="BodyText"/>
        <w:spacing w:line="324" w:lineRule="auto" w:before="107"/>
        <w:ind w:left="199" w:right="4449"/>
      </w:pPr>
      <w:r>
        <w:rPr>
          <w:spacing w:val="11"/>
        </w:rPr>
        <w:t>一、違反第六條第一項規定。</w:t>
      </w:r>
      <w:r>
        <w:rPr>
          <w:spacing w:val="10"/>
        </w:rPr>
        <w:t>二、違反第十九條規定。</w:t>
      </w:r>
    </w:p>
    <w:p>
      <w:pPr>
        <w:pStyle w:val="BodyText"/>
        <w:spacing w:before="17"/>
        <w:ind w:left="199"/>
      </w:pPr>
      <w:r>
        <w:rPr>
          <w:spacing w:val="12"/>
        </w:rPr>
        <w:t>三、違反第二十條第一項規定。</w:t>
      </w:r>
    </w:p>
    <w:p>
      <w:pPr>
        <w:pStyle w:val="BodyText"/>
        <w:spacing w:line="254" w:lineRule="auto" w:before="124"/>
        <w:ind w:left="645" w:right="164" w:hanging="447"/>
      </w:pPr>
      <w:r>
        <w:rPr>
          <w:spacing w:val="11"/>
        </w:rPr>
        <w:t>四、違反中央目的事業主管機關依第二十一條規定限制國際傳輸之命令</w:t>
      </w:r>
      <w:r>
        <w:rPr>
          <w:spacing w:val="7"/>
        </w:rPr>
        <w:t>或處分。</w:t>
      </w:r>
    </w:p>
    <w:p>
      <w:pPr>
        <w:pStyle w:val="BodyText"/>
        <w:spacing w:before="9"/>
        <w:rPr>
          <w:sz w:val="24"/>
        </w:rPr>
      </w:pPr>
    </w:p>
    <w:p>
      <w:pPr>
        <w:pStyle w:val="BodyText"/>
        <w:ind w:left="199"/>
      </w:pPr>
      <w:r>
        <w:rPr>
          <w:spacing w:val="13"/>
        </w:rPr>
        <w:t>非公務機關有下列情事之一者，由中央目的事業主管機關或直轄市、縣</w:t>
      </w:r>
    </w:p>
    <w:p>
      <w:pPr>
        <w:pStyle w:val="BodyText"/>
        <w:spacing w:line="254" w:lineRule="auto" w:before="5"/>
        <w:ind w:left="199" w:right="164"/>
      </w:pPr>
      <w:r>
        <w:rPr>
          <w:spacing w:val="12"/>
        </w:rPr>
        <w:t>（市）</w:t>
      </w:r>
      <w:r>
        <w:rPr>
          <w:spacing w:val="11"/>
        </w:rPr>
        <w:t>政府限期改正，屆期未改正者，按次處新臺幣二萬元以上二十萬</w:t>
      </w:r>
      <w:r>
        <w:rPr>
          <w:spacing w:val="10"/>
        </w:rPr>
        <w:t>元以下罰鍰：</w:t>
      </w:r>
    </w:p>
    <w:p>
      <w:pPr>
        <w:pStyle w:val="BodyText"/>
        <w:spacing w:before="106"/>
        <w:ind w:left="199"/>
      </w:pPr>
      <w:r>
        <w:rPr>
          <w:spacing w:val="12"/>
        </w:rPr>
        <w:t>一、違反第八條或第九條規定。</w:t>
      </w:r>
    </w:p>
    <w:p>
      <w:pPr>
        <w:pStyle w:val="BodyText"/>
        <w:spacing w:line="336" w:lineRule="auto" w:before="109"/>
        <w:ind w:left="199" w:right="1593"/>
      </w:pPr>
      <w:r>
        <w:rPr>
          <w:spacing w:val="11"/>
        </w:rPr>
        <w:t>二、違反第十條、第十一條、第十二條或第十三條規定。三、違反第二十條第二項或第三項規定。</w:t>
      </w:r>
    </w:p>
    <w:p>
      <w:pPr>
        <w:pStyle w:val="BodyText"/>
        <w:spacing w:line="249" w:lineRule="auto" w:before="1"/>
        <w:ind w:left="199" w:right="164"/>
        <w:jc w:val="both"/>
      </w:pPr>
      <w:r>
        <w:rPr>
          <w:spacing w:val="11"/>
        </w:rPr>
        <w:t>非公務機關違反第二十七條第一項或未依第二項訂定個人資料檔案安全維護計畫或業務終止後個人資料處理方法者，由中央目的事業主管機關</w:t>
      </w:r>
      <w:r>
        <w:rPr>
          <w:spacing w:val="12"/>
        </w:rPr>
        <w:t>或直轄市、縣（市）</w:t>
      </w:r>
      <w:r>
        <w:rPr>
          <w:spacing w:val="11"/>
        </w:rPr>
        <w:t>政府處新臺幣二萬元以上二百萬元以下罰鍰，並令其限期改正，屆期未改正者，按次處新臺幣十五萬元以上一千五百萬元</w:t>
      </w:r>
      <w:r>
        <w:rPr>
          <w:spacing w:val="8"/>
        </w:rPr>
        <w:t>以下罰鍰。</w:t>
      </w:r>
    </w:p>
    <w:p>
      <w:pPr>
        <w:pStyle w:val="BodyText"/>
        <w:spacing w:line="247" w:lineRule="auto" w:before="112"/>
        <w:ind w:left="199" w:right="164"/>
        <w:jc w:val="both"/>
      </w:pPr>
      <w:r>
        <w:rPr>
          <w:spacing w:val="11"/>
        </w:rPr>
        <w:t>非公務機關違反第二十七條第一項或未依第二項訂定個人資料檔案安全維護計畫或業務終止後個人資料處理方法，其情節重大者，由中央目的</w:t>
      </w:r>
      <w:r>
        <w:rPr>
          <w:spacing w:val="12"/>
        </w:rPr>
        <w:t>事業主管機關或直轄市、縣（市）</w:t>
      </w:r>
      <w:r>
        <w:rPr>
          <w:spacing w:val="11"/>
        </w:rPr>
        <w:t>政府處新臺幣十五萬元以上一千五百萬元以下罰鍰，並令其限期改正，屆期未改正者，按次處罰。</w:t>
      </w:r>
    </w:p>
    <w:p>
      <w:pPr>
        <w:pStyle w:val="BodyText"/>
        <w:spacing w:before="4"/>
        <w:rPr>
          <w:sz w:val="25"/>
        </w:rPr>
      </w:pPr>
    </w:p>
    <w:p>
      <w:pPr>
        <w:pStyle w:val="BodyText"/>
        <w:spacing w:line="249" w:lineRule="auto"/>
        <w:ind w:left="199" w:right="164"/>
        <w:jc w:val="both"/>
      </w:pPr>
      <w:r>
        <w:rPr>
          <w:spacing w:val="11"/>
        </w:rPr>
        <w:t>非公務機關無正當理由違反第二十二條第四項規定者，由中央目的事業</w:t>
      </w:r>
      <w:r>
        <w:rPr>
          <w:spacing w:val="12"/>
        </w:rPr>
        <w:t>主管機關或直轄市、縣（市）</w:t>
      </w:r>
      <w:r>
        <w:rPr>
          <w:spacing w:val="11"/>
        </w:rPr>
        <w:t>政府處新臺幣二萬元以上二十萬元以下罰</w:t>
      </w:r>
      <w:r>
        <w:rPr>
          <w:spacing w:val="2"/>
        </w:rPr>
        <w:t>鍰。</w:t>
      </w:r>
    </w:p>
    <w:p>
      <w:pPr>
        <w:pStyle w:val="BodyText"/>
        <w:rPr>
          <w:sz w:val="25"/>
        </w:rPr>
      </w:pPr>
    </w:p>
    <w:p>
      <w:pPr>
        <w:pStyle w:val="BodyText"/>
        <w:spacing w:line="249" w:lineRule="auto"/>
        <w:ind w:left="199" w:right="164"/>
        <w:jc w:val="both"/>
      </w:pPr>
      <w:r>
        <w:rPr>
          <w:spacing w:val="11"/>
        </w:rPr>
        <w:t>非公務機關之代表人、管理人或其他有代表權人，因該非公務機關依前三條規定受罰鍰處罰時，除能證明已盡防止義務者外，應並受同一額度</w:t>
      </w:r>
      <w:r>
        <w:rPr>
          <w:spacing w:val="10"/>
        </w:rPr>
        <w:t>罰鍰之處罰。</w:t>
      </w:r>
    </w:p>
    <w:p>
      <w:pPr>
        <w:pStyle w:val="BodyText"/>
      </w:pPr>
    </w:p>
    <w:p>
      <w:pPr>
        <w:pStyle w:val="BodyText"/>
      </w:pPr>
    </w:p>
    <w:p>
      <w:pPr>
        <w:pStyle w:val="BodyText"/>
        <w:spacing w:before="3"/>
        <w:rPr>
          <w:sz w:val="18"/>
        </w:rPr>
      </w:pPr>
    </w:p>
    <w:p>
      <w:pPr>
        <w:pStyle w:val="BodyText"/>
        <w:ind w:left="199"/>
      </w:pPr>
      <w:r>
        <w:rPr>
          <w:spacing w:val="12"/>
        </w:rPr>
        <w:t>有下列情形之一者，不適用本法規定：</w:t>
      </w:r>
    </w:p>
    <w:p>
      <w:pPr>
        <w:spacing w:after="0"/>
        <w:sectPr>
          <w:pgSz w:w="11900" w:h="16840"/>
          <w:pgMar w:top="840" w:bottom="280" w:left="820" w:right="760"/>
          <w:cols w:num="2" w:equalWidth="0">
            <w:col w:w="2549" w:space="40"/>
            <w:col w:w="7731"/>
          </w:cols>
        </w:sectPr>
      </w:pPr>
    </w:p>
    <w:p>
      <w:pPr>
        <w:pStyle w:val="BodyText"/>
        <w:spacing w:before="74"/>
        <w:ind w:left="1047"/>
      </w:pPr>
      <w:r>
        <w:rPr>
          <w:spacing w:val="14"/>
        </w:rPr>
        <w:t>第 </w:t>
      </w:r>
      <w:r>
        <w:rPr/>
        <w:t>51</w:t>
      </w:r>
      <w:r>
        <w:rPr>
          <w:spacing w:val="6"/>
        </w:rPr>
        <w:t> 條</w:t>
      </w:r>
    </w:p>
    <w:p>
      <w:pPr>
        <w:pStyle w:val="BodyText"/>
      </w:pPr>
    </w:p>
    <w:p>
      <w:pPr>
        <w:pStyle w:val="BodyText"/>
      </w:pPr>
    </w:p>
    <w:p>
      <w:pPr>
        <w:pStyle w:val="BodyText"/>
      </w:pPr>
    </w:p>
    <w:p>
      <w:pPr>
        <w:pStyle w:val="BodyText"/>
        <w:rPr>
          <w:sz w:val="19"/>
        </w:rPr>
      </w:pPr>
    </w:p>
    <w:p>
      <w:pPr>
        <w:pStyle w:val="Heading1"/>
        <w:rPr>
          <w:i/>
        </w:rPr>
      </w:pPr>
      <w:r>
        <w:rPr>
          <w:i/>
          <w:w w:val="101"/>
        </w:rPr>
        <w:t>2</w:t>
      </w:r>
    </w:p>
    <w:p>
      <w:pPr>
        <w:pStyle w:val="BodyText"/>
        <w:rPr>
          <w:rFonts w:ascii="Consolas"/>
          <w:i/>
        </w:rPr>
      </w:pPr>
    </w:p>
    <w:p>
      <w:pPr>
        <w:pStyle w:val="BodyText"/>
        <w:rPr>
          <w:rFonts w:ascii="Consolas"/>
          <w:i/>
        </w:rPr>
      </w:pPr>
    </w:p>
    <w:p>
      <w:pPr>
        <w:pStyle w:val="BodyText"/>
        <w:spacing w:before="10"/>
        <w:rPr>
          <w:rFonts w:ascii="Consolas"/>
          <w:i/>
          <w:sz w:val="24"/>
        </w:rPr>
      </w:pPr>
    </w:p>
    <w:p>
      <w:pPr>
        <w:pStyle w:val="BodyText"/>
        <w:tabs>
          <w:tab w:pos="2419" w:val="left" w:leader="none"/>
        </w:tabs>
        <w:spacing w:before="1"/>
        <w:ind w:left="1047"/>
        <w:rPr>
          <w:rFonts w:ascii="Consolas" w:eastAsia="Consolas"/>
          <w:i/>
          <w:sz w:val="23"/>
        </w:rPr>
      </w:pPr>
      <w:r>
        <w:rPr/>
        <w:t>第</w:t>
      </w:r>
      <w:r>
        <w:rPr>
          <w:spacing w:val="28"/>
        </w:rPr>
        <w:t> </w:t>
      </w:r>
      <w:r>
        <w:rPr/>
        <w:t>52</w:t>
      </w:r>
      <w:r>
        <w:rPr>
          <w:spacing w:val="22"/>
        </w:rPr>
        <w:t> </w:t>
      </w:r>
      <w:r>
        <w:rPr>
          <w:spacing w:val="-10"/>
        </w:rPr>
        <w:t>條</w:t>
      </w:r>
      <w:r>
        <w:rPr/>
        <w:tab/>
      </w:r>
      <w:r>
        <w:rPr>
          <w:rFonts w:ascii="Consolas" w:eastAsia="Consolas"/>
          <w:i/>
          <w:spacing w:val="-10"/>
          <w:position w:val="1"/>
          <w:sz w:val="23"/>
        </w:rPr>
        <w:t>1</w:t>
      </w:r>
    </w:p>
    <w:p>
      <w:pPr>
        <w:pStyle w:val="BodyText"/>
        <w:rPr>
          <w:rFonts w:ascii="Consolas"/>
          <w:i/>
        </w:rPr>
      </w:pPr>
    </w:p>
    <w:p>
      <w:pPr>
        <w:pStyle w:val="BodyText"/>
        <w:rPr>
          <w:rFonts w:ascii="Consolas"/>
          <w:i/>
        </w:rPr>
      </w:pPr>
    </w:p>
    <w:p>
      <w:pPr>
        <w:pStyle w:val="BodyText"/>
        <w:spacing w:before="7"/>
        <w:rPr>
          <w:rFonts w:ascii="Consolas"/>
          <w:i/>
          <w:sz w:val="20"/>
        </w:rPr>
      </w:pPr>
    </w:p>
    <w:p>
      <w:pPr>
        <w:pStyle w:val="Heading1"/>
        <w:rPr>
          <w:i/>
        </w:rPr>
      </w:pPr>
      <w:r>
        <w:rPr>
          <w:i/>
          <w:w w:val="101"/>
        </w:rPr>
        <w:t>2</w:t>
      </w:r>
    </w:p>
    <w:p>
      <w:pPr>
        <w:pStyle w:val="BodyText"/>
        <w:rPr>
          <w:rFonts w:ascii="Consolas"/>
          <w:i/>
        </w:rPr>
      </w:pPr>
    </w:p>
    <w:p>
      <w:pPr>
        <w:pStyle w:val="BodyText"/>
        <w:rPr>
          <w:rFonts w:ascii="Consolas"/>
          <w:i/>
        </w:rPr>
      </w:pPr>
    </w:p>
    <w:p>
      <w:pPr>
        <w:pStyle w:val="BodyText"/>
        <w:spacing w:before="8"/>
        <w:rPr>
          <w:rFonts w:ascii="Consolas"/>
          <w:i/>
          <w:sz w:val="18"/>
        </w:rPr>
      </w:pPr>
    </w:p>
    <w:p>
      <w:pPr>
        <w:pStyle w:val="BodyText"/>
        <w:ind w:left="1047"/>
      </w:pPr>
      <w:r>
        <w:rPr>
          <w:spacing w:val="14"/>
        </w:rPr>
        <w:t>第 </w:t>
      </w:r>
      <w:r>
        <w:rPr/>
        <w:t>53</w:t>
      </w:r>
      <w:r>
        <w:rPr>
          <w:spacing w:val="6"/>
        </w:rPr>
        <w:t> 條</w:t>
      </w:r>
    </w:p>
    <w:p>
      <w:pPr>
        <w:pStyle w:val="BodyText"/>
      </w:pPr>
    </w:p>
    <w:p>
      <w:pPr>
        <w:pStyle w:val="BodyText"/>
        <w:spacing w:before="2"/>
        <w:rPr>
          <w:sz w:val="26"/>
        </w:rPr>
      </w:pPr>
    </w:p>
    <w:p>
      <w:pPr>
        <w:pStyle w:val="BodyText"/>
        <w:tabs>
          <w:tab w:pos="2419" w:val="left" w:leader="none"/>
        </w:tabs>
        <w:ind w:left="1047"/>
        <w:rPr>
          <w:rFonts w:ascii="Consolas" w:eastAsia="Consolas"/>
          <w:i/>
          <w:sz w:val="23"/>
        </w:rPr>
      </w:pPr>
      <w:r>
        <w:rPr/>
        <w:t>第</w:t>
      </w:r>
      <w:r>
        <w:rPr>
          <w:spacing w:val="28"/>
        </w:rPr>
        <w:t> </w:t>
      </w:r>
      <w:r>
        <w:rPr/>
        <w:t>54</w:t>
      </w:r>
      <w:r>
        <w:rPr>
          <w:spacing w:val="22"/>
        </w:rPr>
        <w:t> </w:t>
      </w:r>
      <w:r>
        <w:rPr>
          <w:spacing w:val="-10"/>
        </w:rPr>
        <w:t>條</w:t>
      </w:r>
      <w:r>
        <w:rPr/>
        <w:tab/>
      </w:r>
      <w:r>
        <w:rPr>
          <w:rFonts w:ascii="Consolas" w:eastAsia="Consolas"/>
          <w:i/>
          <w:spacing w:val="-10"/>
          <w:position w:val="1"/>
          <w:sz w:val="23"/>
        </w:rPr>
        <w:t>1</w:t>
      </w:r>
    </w:p>
    <w:p>
      <w:pPr>
        <w:pStyle w:val="BodyText"/>
        <w:rPr>
          <w:rFonts w:ascii="Consolas"/>
          <w:i/>
        </w:rPr>
      </w:pPr>
    </w:p>
    <w:p>
      <w:pPr>
        <w:pStyle w:val="BodyText"/>
        <w:rPr>
          <w:rFonts w:ascii="Consolas"/>
          <w:i/>
        </w:rPr>
      </w:pPr>
    </w:p>
    <w:p>
      <w:pPr>
        <w:pStyle w:val="BodyText"/>
        <w:spacing w:before="7"/>
        <w:rPr>
          <w:rFonts w:ascii="Consolas"/>
          <w:i/>
          <w:sz w:val="20"/>
        </w:rPr>
      </w:pPr>
    </w:p>
    <w:p>
      <w:pPr>
        <w:pStyle w:val="Heading1"/>
        <w:rPr>
          <w:i/>
        </w:rPr>
      </w:pPr>
      <w:r>
        <w:rPr>
          <w:i/>
          <w:w w:val="101"/>
        </w:rPr>
        <w:t>2</w:t>
      </w:r>
    </w:p>
    <w:p>
      <w:pPr>
        <w:pStyle w:val="BodyText"/>
        <w:rPr>
          <w:rFonts w:ascii="Consolas"/>
          <w:i/>
        </w:rPr>
      </w:pPr>
    </w:p>
    <w:p>
      <w:pPr>
        <w:pStyle w:val="BodyText"/>
        <w:spacing w:before="7"/>
        <w:rPr>
          <w:rFonts w:ascii="Consolas"/>
          <w:i/>
          <w:sz w:val="18"/>
        </w:rPr>
      </w:pPr>
    </w:p>
    <w:p>
      <w:pPr>
        <w:spacing w:before="0"/>
        <w:ind w:left="0" w:right="38" w:firstLine="0"/>
        <w:jc w:val="right"/>
        <w:rPr>
          <w:rFonts w:ascii="Consolas"/>
          <w:i/>
          <w:sz w:val="23"/>
        </w:rPr>
      </w:pPr>
      <w:r>
        <w:rPr>
          <w:rFonts w:ascii="Consolas"/>
          <w:i/>
          <w:w w:val="101"/>
          <w:sz w:val="23"/>
        </w:rPr>
        <w:t>3</w:t>
      </w:r>
    </w:p>
    <w:p>
      <w:pPr>
        <w:pStyle w:val="BodyText"/>
        <w:rPr>
          <w:rFonts w:ascii="Consolas"/>
          <w:i/>
        </w:rPr>
      </w:pPr>
    </w:p>
    <w:p>
      <w:pPr>
        <w:pStyle w:val="BodyText"/>
        <w:spacing w:before="149"/>
        <w:ind w:left="1047"/>
      </w:pPr>
      <w:r>
        <w:rPr>
          <w:spacing w:val="14"/>
        </w:rPr>
        <w:t>第 </w:t>
      </w:r>
      <w:r>
        <w:rPr/>
        <w:t>55</w:t>
      </w:r>
      <w:r>
        <w:rPr>
          <w:spacing w:val="6"/>
        </w:rPr>
        <w:t> 條</w:t>
      </w:r>
    </w:p>
    <w:p>
      <w:pPr>
        <w:pStyle w:val="BodyText"/>
        <w:spacing w:before="10"/>
        <w:rPr>
          <w:sz w:val="25"/>
        </w:rPr>
      </w:pPr>
    </w:p>
    <w:p>
      <w:pPr>
        <w:pStyle w:val="BodyText"/>
        <w:tabs>
          <w:tab w:pos="2419" w:val="left" w:leader="none"/>
        </w:tabs>
        <w:ind w:left="1047"/>
        <w:rPr>
          <w:rFonts w:ascii="Consolas" w:eastAsia="Consolas"/>
          <w:i/>
          <w:sz w:val="23"/>
        </w:rPr>
      </w:pPr>
      <w:r>
        <w:rPr/>
        <w:t>第</w:t>
      </w:r>
      <w:r>
        <w:rPr>
          <w:spacing w:val="28"/>
        </w:rPr>
        <w:t> </w:t>
      </w:r>
      <w:r>
        <w:rPr/>
        <w:t>56</w:t>
      </w:r>
      <w:r>
        <w:rPr>
          <w:spacing w:val="22"/>
        </w:rPr>
        <w:t> </w:t>
      </w:r>
      <w:r>
        <w:rPr>
          <w:spacing w:val="-10"/>
        </w:rPr>
        <w:t>條</w:t>
      </w:r>
      <w:r>
        <w:rPr/>
        <w:tab/>
      </w:r>
      <w:r>
        <w:rPr>
          <w:rFonts w:ascii="Consolas" w:eastAsia="Consolas"/>
          <w:i/>
          <w:spacing w:val="-10"/>
          <w:position w:val="1"/>
          <w:sz w:val="23"/>
        </w:rPr>
        <w:t>1</w:t>
      </w:r>
    </w:p>
    <w:p>
      <w:pPr>
        <w:pStyle w:val="Heading1"/>
        <w:spacing w:before="118"/>
        <w:rPr>
          <w:i/>
        </w:rPr>
      </w:pPr>
      <w:r>
        <w:rPr>
          <w:i/>
          <w:w w:val="101"/>
        </w:rPr>
        <w:t>2</w:t>
      </w:r>
    </w:p>
    <w:p>
      <w:pPr>
        <w:pStyle w:val="BodyText"/>
        <w:rPr>
          <w:rFonts w:ascii="Consolas"/>
          <w:i/>
        </w:rPr>
      </w:pPr>
    </w:p>
    <w:p>
      <w:pPr>
        <w:pStyle w:val="BodyText"/>
        <w:rPr>
          <w:rFonts w:ascii="Consolas"/>
          <w:i/>
        </w:rPr>
      </w:pPr>
    </w:p>
    <w:p>
      <w:pPr>
        <w:pStyle w:val="BodyText"/>
        <w:rPr>
          <w:rFonts w:ascii="Consolas"/>
          <w:i/>
        </w:rPr>
      </w:pPr>
    </w:p>
    <w:p>
      <w:pPr>
        <w:pStyle w:val="BodyText"/>
        <w:spacing w:before="11"/>
        <w:rPr>
          <w:rFonts w:ascii="Consolas"/>
          <w:i/>
        </w:rPr>
      </w:pPr>
    </w:p>
    <w:p>
      <w:pPr>
        <w:spacing w:before="0"/>
        <w:ind w:left="108" w:right="0" w:firstLine="0"/>
        <w:jc w:val="left"/>
        <w:rPr>
          <w:sz w:val="18"/>
        </w:rPr>
      </w:pPr>
      <w:r>
        <w:rPr/>
        <w:pict>
          <v:rect style="position:absolute;margin-left:46.438847pt;margin-top:-3.646096pt;width:498.402857pt;height:.743885pt;mso-position-horizontal-relative:page;mso-position-vertical-relative:paragraph;z-index:15729664" id="docshape8" filled="true" fillcolor="#bfbfbf" stroked="false">
            <v:fill type="solid"/>
            <w10:wrap type="none"/>
          </v:rect>
        </w:pict>
      </w:r>
      <w:r>
        <w:rPr>
          <w:spacing w:val="-3"/>
          <w:sz w:val="18"/>
        </w:rPr>
        <w:t>資料來源：全國法規資料庫</w:t>
      </w:r>
    </w:p>
    <w:p>
      <w:pPr>
        <w:pStyle w:val="BodyText"/>
        <w:spacing w:line="244" w:lineRule="auto" w:before="44"/>
        <w:ind w:left="555" w:right="164" w:hanging="447"/>
      </w:pPr>
      <w:r>
        <w:rPr/>
        <w:br w:type="column"/>
      </w:r>
      <w:r>
        <w:rPr>
          <w:spacing w:val="11"/>
        </w:rPr>
        <w:t>一、自然人為單純個人或家庭活動之目的，而蒐集、處理或利用個人資</w:t>
      </w:r>
      <w:r>
        <w:rPr>
          <w:spacing w:val="2"/>
        </w:rPr>
        <w:t>料。</w:t>
      </w:r>
    </w:p>
    <w:p>
      <w:pPr>
        <w:pStyle w:val="BodyText"/>
        <w:spacing w:line="254" w:lineRule="auto" w:before="117"/>
        <w:ind w:left="555" w:right="164" w:hanging="447"/>
      </w:pPr>
      <w:r>
        <w:rPr>
          <w:spacing w:val="11"/>
        </w:rPr>
        <w:t>二、於公開場所或公開活動中所蒐集、處理或利用之未與其他個人資料</w:t>
      </w:r>
      <w:r>
        <w:rPr>
          <w:spacing w:val="10"/>
        </w:rPr>
        <w:t>結合之影音資料。</w:t>
      </w:r>
    </w:p>
    <w:p>
      <w:pPr>
        <w:pStyle w:val="BodyText"/>
        <w:spacing w:line="244" w:lineRule="auto" w:before="106"/>
        <w:ind w:left="108" w:right="164"/>
      </w:pPr>
      <w:r>
        <w:rPr>
          <w:spacing w:val="11"/>
        </w:rPr>
        <w:t>公務機關及非公務機關，在中華民國領域外對中華民國人民個人資料蒐集、處理或利用者，亦適用本法。</w:t>
      </w:r>
    </w:p>
    <w:p>
      <w:pPr>
        <w:pStyle w:val="BodyText"/>
        <w:spacing w:before="10"/>
        <w:rPr>
          <w:sz w:val="31"/>
        </w:rPr>
      </w:pPr>
    </w:p>
    <w:p>
      <w:pPr>
        <w:pStyle w:val="BodyText"/>
        <w:ind w:left="108"/>
      </w:pPr>
      <w:r>
        <w:rPr>
          <w:spacing w:val="13"/>
        </w:rPr>
        <w:t>第二十二條至第二十六條規定由中央目的事業主管機關或直轄市、縣</w:t>
      </w:r>
    </w:p>
    <w:p>
      <w:pPr>
        <w:pStyle w:val="BodyText"/>
        <w:spacing w:line="244" w:lineRule="auto" w:before="20"/>
        <w:ind w:left="108" w:right="164"/>
      </w:pPr>
      <w:r>
        <w:rPr>
          <w:spacing w:val="12"/>
        </w:rPr>
        <w:t>（市）</w:t>
      </w:r>
      <w:r>
        <w:rPr>
          <w:spacing w:val="11"/>
        </w:rPr>
        <w:t>政府執行之權限，得委任所屬機關、委託其他機關或公益團體辦理；其成員因執行委任或委託事務所知悉之資訊，負保密義務。</w:t>
      </w:r>
    </w:p>
    <w:p>
      <w:pPr>
        <w:pStyle w:val="BodyText"/>
        <w:spacing w:line="254" w:lineRule="auto" w:before="116"/>
        <w:ind w:left="108" w:right="164"/>
      </w:pPr>
      <w:r>
        <w:rPr>
          <w:spacing w:val="11"/>
        </w:rPr>
        <w:t>前項之公益團體，不得依第三十四條第一項規定接受當事人授與訴訟實施權，以自己之名義提起損害賠償訴訟。</w:t>
      </w:r>
    </w:p>
    <w:p>
      <w:pPr>
        <w:pStyle w:val="BodyText"/>
        <w:spacing w:before="9"/>
        <w:rPr>
          <w:sz w:val="24"/>
        </w:rPr>
      </w:pPr>
    </w:p>
    <w:p>
      <w:pPr>
        <w:pStyle w:val="BodyText"/>
        <w:spacing w:line="244" w:lineRule="auto"/>
        <w:ind w:left="108" w:right="164"/>
      </w:pPr>
      <w:r>
        <w:rPr>
          <w:spacing w:val="11"/>
        </w:rPr>
        <w:t>法務部應會同中央目的事業主管機關訂定特定目的及個人資料類別，提供公務機關及非公務機關參考使用。</w:t>
      </w:r>
    </w:p>
    <w:p>
      <w:pPr>
        <w:pStyle w:val="BodyText"/>
        <w:spacing w:before="5"/>
        <w:rPr>
          <w:sz w:val="25"/>
        </w:rPr>
      </w:pPr>
    </w:p>
    <w:p>
      <w:pPr>
        <w:pStyle w:val="BodyText"/>
        <w:spacing w:line="249" w:lineRule="auto"/>
        <w:ind w:left="108" w:right="164"/>
        <w:jc w:val="both"/>
      </w:pPr>
      <w:r>
        <w:rPr>
          <w:spacing w:val="11"/>
        </w:rPr>
        <w:t>本法中華民國九十九年五月二十六日修正公布之條文施行前，非由當事人提供之個人資料，於本法一百零四年十二月十五日修正之條文施行後為處理或利用者，應於處理或利用前，依第九條規定向當事人告知。</w:t>
      </w:r>
    </w:p>
    <w:p>
      <w:pPr>
        <w:pStyle w:val="BodyText"/>
        <w:spacing w:line="244" w:lineRule="auto" w:before="111"/>
        <w:ind w:left="108" w:right="164"/>
        <w:jc w:val="both"/>
      </w:pPr>
      <w:r>
        <w:rPr>
          <w:spacing w:val="11"/>
        </w:rPr>
        <w:t>前項之告知，得於本法中華民國一百零四年十二月十五日修正之條文施</w:t>
      </w:r>
      <w:r>
        <w:rPr>
          <w:spacing w:val="10"/>
        </w:rPr>
        <w:t>行後首次利用時併同為之。</w:t>
      </w:r>
    </w:p>
    <w:p>
      <w:pPr>
        <w:pStyle w:val="BodyText"/>
        <w:spacing w:line="523" w:lineRule="auto" w:before="116"/>
        <w:ind w:left="108" w:right="1593"/>
      </w:pPr>
      <w:r>
        <w:rPr>
          <w:spacing w:val="11"/>
        </w:rPr>
        <w:t>未依前二項規定告知而利用者，以違反第九條規定論處。本法施行細則，由法務部定之。</w:t>
      </w:r>
    </w:p>
    <w:p>
      <w:pPr>
        <w:pStyle w:val="BodyText"/>
        <w:spacing w:line="305" w:lineRule="exact"/>
        <w:ind w:left="108"/>
        <w:jc w:val="both"/>
      </w:pPr>
      <w:r>
        <w:rPr>
          <w:spacing w:val="12"/>
        </w:rPr>
        <w:t>本法施行日期，由行政院定之。</w:t>
      </w:r>
    </w:p>
    <w:p>
      <w:pPr>
        <w:pStyle w:val="BodyText"/>
        <w:spacing w:line="249" w:lineRule="auto" w:before="124"/>
        <w:ind w:left="108" w:right="164"/>
        <w:jc w:val="both"/>
      </w:pPr>
      <w:r>
        <w:rPr>
          <w:spacing w:val="11"/>
        </w:rPr>
        <w:t>本法中華民國九十九年五月二十六日修正公布之現行條文第十九條至第二十二條、第四十三條之刪除及一百十二年五月十六日修正之第四十八</w:t>
      </w:r>
      <w:r>
        <w:rPr>
          <w:spacing w:val="10"/>
        </w:rPr>
        <w:t>條，自公布日施行。</w:t>
      </w:r>
    </w:p>
    <w:sectPr>
      <w:pgSz w:w="11900" w:h="16840"/>
      <w:pgMar w:top="720" w:bottom="280" w:left="820" w:right="760"/>
      <w:cols w:num="2" w:equalWidth="0">
        <w:col w:w="2589" w:space="90"/>
        <w:col w:w="76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細明體">
    <w:altName w:val="細明體"/>
    <w:charset w:val="88"/>
    <w:family w:val="modern"/>
    <w:pitch w:val="fixed"/>
  </w:font>
  <w:font w:name="Arial">
    <w:altName w:val="Arial"/>
    <w:charset w:val="0"/>
    <w:family w:val="swiss"/>
    <w:pitch w:val="variable"/>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6">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5">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4">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3">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2">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1">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0">
    <w:multiLevelType w:val="hybridMultilevel"/>
    <w:lvl w:ilvl="0">
      <w:start w:val="1"/>
      <w:numFmt w:val="decimal"/>
      <w:lvlText w:val="%1"/>
      <w:lvlJc w:val="left"/>
      <w:pPr>
        <w:ind w:left="763" w:hanging="369"/>
        <w:jc w:val="righ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9">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8">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7">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6">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5">
    <w:multiLevelType w:val="hybridMultilevel"/>
    <w:lvl w:ilvl="0">
      <w:start w:val="1"/>
      <w:numFmt w:val="decimal"/>
      <w:lvlText w:val="%1"/>
      <w:lvlJc w:val="left"/>
      <w:pPr>
        <w:ind w:left="763" w:hanging="369"/>
        <w:jc w:val="righ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4">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3">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2">
    <w:multiLevelType w:val="hybridMultilevel"/>
    <w:lvl w:ilvl="0">
      <w:start w:val="1"/>
      <w:numFmt w:val="decimal"/>
      <w:lvlText w:val="%1"/>
      <w:lvlJc w:val="left"/>
      <w:pPr>
        <w:ind w:left="763" w:hanging="369"/>
        <w:jc w:val="lef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abstractNum w:abstractNumId="1">
    <w:multiLevelType w:val="hybridMultilevel"/>
    <w:lvl w:ilvl="0">
      <w:start w:val="1"/>
      <w:numFmt w:val="decimal"/>
      <w:lvlText w:val="%1"/>
      <w:lvlJc w:val="left"/>
      <w:pPr>
        <w:ind w:left="763" w:hanging="369"/>
        <w:jc w:val="right"/>
      </w:pPr>
      <w:rPr>
        <w:rFonts w:hint="default" w:ascii="Consolas" w:hAnsi="Consolas" w:eastAsia="Consolas" w:cs="Consolas"/>
        <w:b w:val="0"/>
        <w:bCs w:val="0"/>
        <w:i/>
        <w:iCs/>
        <w:w w:val="101"/>
        <w:sz w:val="23"/>
        <w:szCs w:val="23"/>
        <w:lang w:val="en-US" w:eastAsia="zh-TW" w:bidi="ar-SA"/>
      </w:rPr>
    </w:lvl>
    <w:lvl w:ilvl="1">
      <w:start w:val="0"/>
      <w:numFmt w:val="bullet"/>
      <w:lvlText w:val="•"/>
      <w:lvlJc w:val="left"/>
      <w:pPr>
        <w:ind w:left="1513" w:hanging="369"/>
      </w:pPr>
      <w:rPr>
        <w:rFonts w:hint="default"/>
        <w:lang w:val="en-US" w:eastAsia="zh-TW" w:bidi="ar-SA"/>
      </w:rPr>
    </w:lvl>
    <w:lvl w:ilvl="2">
      <w:start w:val="0"/>
      <w:numFmt w:val="bullet"/>
      <w:lvlText w:val="•"/>
      <w:lvlJc w:val="left"/>
      <w:pPr>
        <w:ind w:left="2266" w:hanging="369"/>
      </w:pPr>
      <w:rPr>
        <w:rFonts w:hint="default"/>
        <w:lang w:val="en-US" w:eastAsia="zh-TW" w:bidi="ar-SA"/>
      </w:rPr>
    </w:lvl>
    <w:lvl w:ilvl="3">
      <w:start w:val="0"/>
      <w:numFmt w:val="bullet"/>
      <w:lvlText w:val="•"/>
      <w:lvlJc w:val="left"/>
      <w:pPr>
        <w:ind w:left="3020" w:hanging="369"/>
      </w:pPr>
      <w:rPr>
        <w:rFonts w:hint="default"/>
        <w:lang w:val="en-US" w:eastAsia="zh-TW" w:bidi="ar-SA"/>
      </w:rPr>
    </w:lvl>
    <w:lvl w:ilvl="4">
      <w:start w:val="0"/>
      <w:numFmt w:val="bullet"/>
      <w:lvlText w:val="•"/>
      <w:lvlJc w:val="left"/>
      <w:pPr>
        <w:ind w:left="3773" w:hanging="369"/>
      </w:pPr>
      <w:rPr>
        <w:rFonts w:hint="default"/>
        <w:lang w:val="en-US" w:eastAsia="zh-TW" w:bidi="ar-SA"/>
      </w:rPr>
    </w:lvl>
    <w:lvl w:ilvl="5">
      <w:start w:val="0"/>
      <w:numFmt w:val="bullet"/>
      <w:lvlText w:val="•"/>
      <w:lvlJc w:val="left"/>
      <w:pPr>
        <w:ind w:left="4527" w:hanging="369"/>
      </w:pPr>
      <w:rPr>
        <w:rFonts w:hint="default"/>
        <w:lang w:val="en-US" w:eastAsia="zh-TW" w:bidi="ar-SA"/>
      </w:rPr>
    </w:lvl>
    <w:lvl w:ilvl="6">
      <w:start w:val="0"/>
      <w:numFmt w:val="bullet"/>
      <w:lvlText w:val="•"/>
      <w:lvlJc w:val="left"/>
      <w:pPr>
        <w:ind w:left="5280" w:hanging="369"/>
      </w:pPr>
      <w:rPr>
        <w:rFonts w:hint="default"/>
        <w:lang w:val="en-US" w:eastAsia="zh-TW" w:bidi="ar-SA"/>
      </w:rPr>
    </w:lvl>
    <w:lvl w:ilvl="7">
      <w:start w:val="0"/>
      <w:numFmt w:val="bullet"/>
      <w:lvlText w:val="•"/>
      <w:lvlJc w:val="left"/>
      <w:pPr>
        <w:ind w:left="6034" w:hanging="369"/>
      </w:pPr>
      <w:rPr>
        <w:rFonts w:hint="default"/>
        <w:lang w:val="en-US" w:eastAsia="zh-TW" w:bidi="ar-SA"/>
      </w:rPr>
    </w:lvl>
    <w:lvl w:ilvl="8">
      <w:start w:val="0"/>
      <w:numFmt w:val="bullet"/>
      <w:lvlText w:val="•"/>
      <w:lvlJc w:val="left"/>
      <w:pPr>
        <w:ind w:left="6787" w:hanging="369"/>
      </w:pPr>
      <w:rPr>
        <w:rFonts w:hint="default"/>
        <w:lang w:val="en-US" w:eastAsia="zh-TW" w:bidi="ar-SA"/>
      </w:rPr>
    </w:lvl>
  </w:abstractNum>
  <w:num w:numId="1">
    <w:abstractNumId w:val="0"/>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rPr>
      <w:rFonts w:ascii="細明體" w:hAnsi="細明體" w:eastAsia="細明體" w:cs="細明體"/>
      <w:sz w:val="22"/>
      <w:szCs w:val="22"/>
      <w:lang w:val="en-US" w:eastAsia="zh-TW" w:bidi="ar-SA"/>
    </w:rPr>
  </w:style>
  <w:style w:styleId="Heading1" w:type="paragraph">
    <w:name w:val="Heading 1"/>
    <w:basedOn w:val="Normal"/>
    <w:uiPriority w:val="1"/>
    <w:qFormat/>
    <w:pPr>
      <w:ind w:right="38"/>
      <w:jc w:val="right"/>
      <w:outlineLvl w:val="1"/>
    </w:pPr>
    <w:rPr>
      <w:rFonts w:ascii="Consolas" w:hAnsi="Consolas" w:eastAsia="Consolas" w:cs="Consolas"/>
      <w:i/>
      <w:iCs/>
      <w:sz w:val="23"/>
      <w:szCs w:val="23"/>
      <w:lang w:val="en-US" w:eastAsia="zh-TW" w:bidi="ar-SA"/>
    </w:rPr>
  </w:style>
  <w:style w:styleId="ListParagraph" w:type="paragraph">
    <w:name w:val="List Paragraph"/>
    <w:basedOn w:val="Normal"/>
    <w:uiPriority w:val="1"/>
    <w:qFormat/>
    <w:pPr>
      <w:ind w:left="763" w:right="164" w:hanging="369"/>
      <w:jc w:val="both"/>
    </w:pPr>
    <w:rPr>
      <w:rFonts w:ascii="細明體" w:hAnsi="細明體" w:eastAsia="細明體" w:cs="細明體"/>
      <w:lang w:val="en-US" w:eastAsia="zh-TW" w:bidi="ar-SA"/>
    </w:rPr>
  </w:style>
  <w:style w:styleId="TableParagraph" w:type="paragraph">
    <w:name w:val="Table Paragraph"/>
    <w:basedOn w:val="Normal"/>
    <w:uiPriority w:val="1"/>
    <w:qFormat/>
    <w:pPr/>
    <w:rPr>
      <w:rFonts w:ascii="細明體" w:hAnsi="細明體" w:eastAsia="細明體" w:cs="細明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2024-01-17T00:27:15Z</dcterms:created>
  <dcterms:modified xsi:type="dcterms:W3CDTF">2024-01-17T00:27:15Z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2024-01-17T00:00:00Z</vt:filetime>
  </property>
  <property fmtid="{D5CDD505-2E9C-101B-9397-08002B2CF9AE}" pid="5" name="Producer">
    <vt:lpwstr>Skia/PDF m109</vt:lpwstr>
  </property>
</Properties>
</file>