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509" w:right="0"/>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ight="0"/>
        <w:rPr>
          <w:rFonts w:ascii="Times New Roman"/>
          <w:sz w:val="6"/>
        </w:rPr>
      </w:pPr>
    </w:p>
    <w:p>
      <w:pPr>
        <w:pStyle w:val="BodyText"/>
        <w:spacing w:before="57"/>
        <w:ind w:left="320" w:right="0"/>
      </w:pPr>
      <w:r>
        <w:rPr>
          <w:spacing w:val="-1"/>
        </w:rPr>
        <w:t>法規名稱：身心障礙者權利公約</w:t>
      </w:r>
    </w:p>
    <w:p>
      <w:pPr>
        <w:pStyle w:val="BodyText"/>
        <w:spacing w:before="12"/>
        <w:ind w:left="320" w:right="0"/>
      </w:pPr>
      <w:r>
        <w:rPr/>
        <w:t>簽訂日期：民國 95 年 12 月 13</w:t>
      </w:r>
      <w:r>
        <w:rPr>
          <w:spacing w:val="-5"/>
        </w:rPr>
        <w:t> 日</w:t>
      </w:r>
    </w:p>
    <w:p>
      <w:pPr>
        <w:pStyle w:val="BodyText"/>
        <w:spacing w:line="506" w:lineRule="auto" w:before="12"/>
        <w:ind w:left="320" w:right="4589"/>
      </w:pPr>
      <w:r>
        <w:rPr>
          <w:spacing w:val="-1"/>
        </w:rPr>
        <w:t>生效日期：民國 </w:t>
      </w:r>
      <w:r>
        <w:rPr/>
        <w:t>103</w:t>
      </w:r>
      <w:r>
        <w:rPr>
          <w:spacing w:val="-5"/>
        </w:rPr>
        <w:t> 年 </w:t>
      </w:r>
      <w:r>
        <w:rPr/>
        <w:t>12</w:t>
      </w:r>
      <w:r>
        <w:rPr>
          <w:spacing w:val="-5"/>
        </w:rPr>
        <w:t> 月 </w:t>
      </w:r>
      <w:r>
        <w:rPr/>
        <w:t>03</w:t>
      </w:r>
      <w:r>
        <w:rPr>
          <w:spacing w:val="-4"/>
        </w:rPr>
        <w:t> 日</w:t>
      </w:r>
      <w:r>
        <w:rPr>
          <w:spacing w:val="-6"/>
        </w:rPr>
        <w:t>前言</w:t>
      </w:r>
    </w:p>
    <w:p>
      <w:pPr>
        <w:pStyle w:val="BodyText"/>
        <w:spacing w:before="12"/>
        <w:ind w:left="320" w:right="0"/>
      </w:pPr>
      <w:r>
        <w:rPr>
          <w:spacing w:val="-2"/>
        </w:rPr>
        <w:t>本公約締約國，</w:t>
      </w:r>
    </w:p>
    <w:p>
      <w:pPr>
        <w:pStyle w:val="ListParagraph"/>
        <w:numPr>
          <w:ilvl w:val="0"/>
          <w:numId w:val="1"/>
        </w:numPr>
        <w:tabs>
          <w:tab w:pos="980" w:val="left" w:leader="none"/>
        </w:tabs>
        <w:spacing w:line="256" w:lineRule="auto" w:before="22" w:after="0"/>
        <w:ind w:left="980" w:right="1179" w:hanging="660"/>
        <w:jc w:val="both"/>
        <w:rPr>
          <w:sz w:val="22"/>
        </w:rPr>
      </w:pPr>
      <w:r>
        <w:rPr>
          <w:spacing w:val="-2"/>
          <w:sz w:val="22"/>
        </w:rPr>
        <w:t>重申聯合國憲章宣告之各項原則承認人類大家庭所有成員之固有尊</w:t>
      </w:r>
      <w:r>
        <w:rPr>
          <w:spacing w:val="-2"/>
          <w:sz w:val="22"/>
        </w:rPr>
        <w:t>嚴與價值，以及平等與不可剝奪之權利，是世界自由、正義與和平</w:t>
      </w:r>
      <w:r>
        <w:rPr>
          <w:spacing w:val="-4"/>
          <w:sz w:val="22"/>
        </w:rPr>
        <w:t>之基礎，</w:t>
      </w:r>
    </w:p>
    <w:p>
      <w:pPr>
        <w:pStyle w:val="ListParagraph"/>
        <w:numPr>
          <w:ilvl w:val="0"/>
          <w:numId w:val="1"/>
        </w:numPr>
        <w:tabs>
          <w:tab w:pos="980" w:val="left" w:leader="none"/>
        </w:tabs>
        <w:spacing w:line="256" w:lineRule="auto" w:before="3" w:after="0"/>
        <w:ind w:left="980" w:right="1179" w:hanging="660"/>
        <w:jc w:val="both"/>
        <w:rPr>
          <w:sz w:val="22"/>
        </w:rPr>
      </w:pPr>
      <w:r>
        <w:rPr>
          <w:spacing w:val="-2"/>
          <w:sz w:val="22"/>
        </w:rPr>
        <w:t>確認聯合國於世界人權宣言與國際人權公約中宣示並同意人人有權</w:t>
      </w:r>
      <w:r>
        <w:rPr>
          <w:spacing w:val="-2"/>
          <w:sz w:val="22"/>
        </w:rPr>
        <w:t>享有該等文書所載之所有權利與自由，不得有任何區別，</w:t>
      </w:r>
    </w:p>
    <w:p>
      <w:pPr>
        <w:pStyle w:val="ListParagraph"/>
        <w:numPr>
          <w:ilvl w:val="0"/>
          <w:numId w:val="1"/>
        </w:numPr>
        <w:tabs>
          <w:tab w:pos="980" w:val="left" w:leader="none"/>
        </w:tabs>
        <w:spacing w:line="256" w:lineRule="auto" w:before="1" w:after="0"/>
        <w:ind w:left="980" w:right="1179" w:hanging="660"/>
        <w:jc w:val="both"/>
        <w:rPr>
          <w:sz w:val="22"/>
        </w:rPr>
      </w:pPr>
      <w:r>
        <w:rPr>
          <w:spacing w:val="-2"/>
          <w:sz w:val="22"/>
        </w:rPr>
        <w:t>再度確認所有人權與基本自由之普世性、不可分割性、相互依存性</w:t>
      </w:r>
      <w:r>
        <w:rPr>
          <w:spacing w:val="-2"/>
          <w:sz w:val="22"/>
        </w:rPr>
        <w:t>及相互關聯性，必須保障身心障礙者不受歧視地充分享有該等權利</w:t>
      </w:r>
      <w:r>
        <w:rPr>
          <w:spacing w:val="-4"/>
          <w:sz w:val="22"/>
        </w:rPr>
        <w:t>及自由，</w:t>
      </w:r>
    </w:p>
    <w:p>
      <w:pPr>
        <w:pStyle w:val="ListParagraph"/>
        <w:numPr>
          <w:ilvl w:val="0"/>
          <w:numId w:val="1"/>
        </w:numPr>
        <w:tabs>
          <w:tab w:pos="980" w:val="left" w:leader="none"/>
        </w:tabs>
        <w:spacing w:line="256" w:lineRule="auto" w:before="3" w:after="0"/>
        <w:ind w:left="980" w:right="1179" w:hanging="660"/>
        <w:jc w:val="both"/>
        <w:rPr>
          <w:sz w:val="22"/>
        </w:rPr>
      </w:pPr>
      <w:r>
        <w:rPr>
          <w:spacing w:val="-2"/>
          <w:sz w:val="22"/>
        </w:rPr>
        <w:t>重申經濟社會文化權利國際公約、公民與政治權利國際公約、消除</w:t>
      </w:r>
      <w:r>
        <w:rPr>
          <w:spacing w:val="-2"/>
          <w:sz w:val="22"/>
        </w:rPr>
        <w:t>一切形式種族歧視國際公約、消除對婦女一切形式歧視公約、禁止</w:t>
      </w:r>
      <w:r>
        <w:rPr>
          <w:spacing w:val="-2"/>
          <w:sz w:val="22"/>
        </w:rPr>
        <w:t>酷刑和其他殘忍、不人道或有辱人格的待遇或處罰公約、兒童權利</w:t>
      </w:r>
      <w:r>
        <w:rPr>
          <w:spacing w:val="-2"/>
          <w:sz w:val="22"/>
        </w:rPr>
        <w:t>公約及保護所有移徙工人及其家庭成員權利國際公約，</w:t>
      </w:r>
    </w:p>
    <w:p>
      <w:pPr>
        <w:pStyle w:val="ListParagraph"/>
        <w:numPr>
          <w:ilvl w:val="0"/>
          <w:numId w:val="1"/>
        </w:numPr>
        <w:tabs>
          <w:tab w:pos="980" w:val="left" w:leader="none"/>
        </w:tabs>
        <w:spacing w:line="256" w:lineRule="auto" w:before="3" w:after="0"/>
        <w:ind w:left="980" w:right="1179" w:hanging="660"/>
        <w:jc w:val="both"/>
        <w:rPr>
          <w:sz w:val="22"/>
        </w:rPr>
      </w:pPr>
      <w:r>
        <w:rPr>
          <w:spacing w:val="-2"/>
          <w:sz w:val="22"/>
        </w:rPr>
        <w:t>確認身心障礙是一個演變中之概念，身心障礙是功能損傷者與阻礙</w:t>
      </w:r>
      <w:r>
        <w:rPr>
          <w:spacing w:val="-2"/>
          <w:sz w:val="22"/>
        </w:rPr>
        <w:t>他們在與其他人平等基礎上充分及切實地參與社會之各種態度及環</w:t>
      </w:r>
      <w:r>
        <w:rPr>
          <w:spacing w:val="-2"/>
          <w:sz w:val="22"/>
        </w:rPr>
        <w:t>境障礙相互作用所產生之結果，</w:t>
      </w:r>
    </w:p>
    <w:p>
      <w:pPr>
        <w:pStyle w:val="ListParagraph"/>
        <w:numPr>
          <w:ilvl w:val="0"/>
          <w:numId w:val="1"/>
        </w:numPr>
        <w:tabs>
          <w:tab w:pos="980" w:val="left" w:leader="none"/>
        </w:tabs>
        <w:spacing w:line="256" w:lineRule="auto" w:before="3" w:after="0"/>
        <w:ind w:left="980" w:right="1179" w:hanging="660"/>
        <w:jc w:val="both"/>
        <w:rPr>
          <w:sz w:val="22"/>
        </w:rPr>
      </w:pPr>
      <w:r>
        <w:rPr>
          <w:spacing w:val="-2"/>
          <w:sz w:val="22"/>
        </w:rPr>
        <w:t>確認關於身心障礙者之世界行動綱領與身心障礙者機會均等標準規</w:t>
      </w:r>
      <w:r>
        <w:rPr>
          <w:spacing w:val="-2"/>
          <w:sz w:val="22"/>
        </w:rPr>
        <w:t>則所載原則及政策準則於影響國家、區域及國際各級推行、制定及</w:t>
      </w:r>
      <w:r>
        <w:rPr>
          <w:spacing w:val="-2"/>
          <w:sz w:val="22"/>
        </w:rPr>
        <w:t>評量進一步增加身心障礙者均等機會之政策、計畫、方案及行動方</w:t>
      </w:r>
      <w:r>
        <w:rPr>
          <w:spacing w:val="-2"/>
          <w:sz w:val="22"/>
        </w:rPr>
        <w:t>面之重要性，</w:t>
      </w:r>
    </w:p>
    <w:p>
      <w:pPr>
        <w:pStyle w:val="ListParagraph"/>
        <w:numPr>
          <w:ilvl w:val="0"/>
          <w:numId w:val="1"/>
        </w:numPr>
        <w:tabs>
          <w:tab w:pos="980" w:val="left" w:leader="none"/>
        </w:tabs>
        <w:spacing w:line="256" w:lineRule="auto" w:before="3" w:after="0"/>
        <w:ind w:left="980" w:right="1179" w:hanging="660"/>
        <w:jc w:val="both"/>
        <w:rPr>
          <w:sz w:val="22"/>
        </w:rPr>
      </w:pPr>
      <w:r>
        <w:rPr>
          <w:spacing w:val="-2"/>
          <w:sz w:val="22"/>
        </w:rPr>
        <w:t>強調身心障礙主流議題之重要性，為永續發展相關策略之重要組成</w:t>
      </w:r>
      <w:r>
        <w:rPr>
          <w:spacing w:val="-4"/>
          <w:sz w:val="22"/>
        </w:rPr>
        <w:t>部分，</w:t>
      </w:r>
    </w:p>
    <w:p>
      <w:pPr>
        <w:pStyle w:val="ListParagraph"/>
        <w:numPr>
          <w:ilvl w:val="0"/>
          <w:numId w:val="1"/>
        </w:numPr>
        <w:tabs>
          <w:tab w:pos="980" w:val="left" w:leader="none"/>
        </w:tabs>
        <w:spacing w:line="256" w:lineRule="auto" w:before="1" w:after="0"/>
        <w:ind w:left="980" w:right="1179" w:hanging="660"/>
        <w:jc w:val="both"/>
        <w:rPr>
          <w:sz w:val="22"/>
        </w:rPr>
      </w:pPr>
      <w:r>
        <w:rPr>
          <w:spacing w:val="-2"/>
          <w:sz w:val="22"/>
        </w:rPr>
        <w:t>同時確認基於身心障礙而歧視任何人是對人之固有尊嚴與價值之侵</w:t>
      </w:r>
      <w:r>
        <w:rPr>
          <w:spacing w:val="-6"/>
          <w:sz w:val="22"/>
        </w:rPr>
        <w:t>犯，</w:t>
      </w:r>
    </w:p>
    <w:p>
      <w:pPr>
        <w:pStyle w:val="ListParagraph"/>
        <w:numPr>
          <w:ilvl w:val="0"/>
          <w:numId w:val="1"/>
        </w:numPr>
        <w:tabs>
          <w:tab w:pos="980" w:val="left" w:leader="none"/>
        </w:tabs>
        <w:spacing w:line="240" w:lineRule="auto" w:before="2" w:after="0"/>
        <w:ind w:left="980" w:right="0" w:hanging="660"/>
        <w:jc w:val="both"/>
        <w:rPr>
          <w:sz w:val="22"/>
        </w:rPr>
      </w:pPr>
      <w:r>
        <w:rPr>
          <w:spacing w:val="-1"/>
          <w:sz w:val="22"/>
        </w:rPr>
        <w:t>進一步確認身心障礙者之多元性，</w:t>
      </w:r>
    </w:p>
    <w:p>
      <w:pPr>
        <w:pStyle w:val="ListParagraph"/>
        <w:numPr>
          <w:ilvl w:val="0"/>
          <w:numId w:val="1"/>
        </w:numPr>
        <w:tabs>
          <w:tab w:pos="980" w:val="left" w:leader="none"/>
        </w:tabs>
        <w:spacing w:line="256" w:lineRule="auto" w:before="22" w:after="0"/>
        <w:ind w:left="980" w:right="1179" w:hanging="660"/>
        <w:jc w:val="both"/>
        <w:rPr>
          <w:sz w:val="22"/>
        </w:rPr>
      </w:pPr>
      <w:r>
        <w:rPr>
          <w:spacing w:val="-2"/>
          <w:sz w:val="22"/>
        </w:rPr>
        <w:t>確認必須促進與保障所有身心障礙者人權，包括需要更多密集支持</w:t>
      </w:r>
      <w:r>
        <w:rPr>
          <w:spacing w:val="-2"/>
          <w:sz w:val="22"/>
        </w:rPr>
        <w:t>之身心障礙者，</w:t>
      </w:r>
    </w:p>
    <w:p>
      <w:pPr>
        <w:pStyle w:val="ListParagraph"/>
        <w:numPr>
          <w:ilvl w:val="0"/>
          <w:numId w:val="1"/>
        </w:numPr>
        <w:tabs>
          <w:tab w:pos="980" w:val="left" w:leader="none"/>
        </w:tabs>
        <w:spacing w:line="256" w:lineRule="auto" w:before="2" w:after="0"/>
        <w:ind w:left="980" w:right="1179" w:hanging="660"/>
        <w:jc w:val="both"/>
        <w:rPr>
          <w:sz w:val="22"/>
        </w:rPr>
      </w:pPr>
      <w:r>
        <w:rPr>
          <w:spacing w:val="-2"/>
          <w:sz w:val="22"/>
        </w:rPr>
        <w:t>儘管有上述各項文書與承諾，身心障礙者作為平等社會成員參與方</w:t>
      </w:r>
      <w:r>
        <w:rPr>
          <w:spacing w:val="-2"/>
          <w:sz w:val="22"/>
        </w:rPr>
        <w:t>面依然面臨各種障礙，其人權於世界各地依然受到侵犯，必須受到</w:t>
      </w:r>
      <w:r>
        <w:rPr>
          <w:spacing w:val="-4"/>
          <w:sz w:val="22"/>
        </w:rPr>
        <w:t>關注，</w:t>
      </w:r>
    </w:p>
    <w:p>
      <w:pPr>
        <w:pStyle w:val="ListParagraph"/>
        <w:numPr>
          <w:ilvl w:val="0"/>
          <w:numId w:val="1"/>
        </w:numPr>
        <w:tabs>
          <w:tab w:pos="980" w:val="left" w:leader="none"/>
        </w:tabs>
        <w:spacing w:line="256" w:lineRule="auto" w:before="2" w:after="0"/>
        <w:ind w:left="980" w:right="1179" w:hanging="660"/>
        <w:jc w:val="both"/>
        <w:rPr>
          <w:sz w:val="22"/>
        </w:rPr>
      </w:pPr>
      <w:r>
        <w:rPr>
          <w:spacing w:val="-2"/>
          <w:sz w:val="22"/>
        </w:rPr>
        <w:t>確認國際合作對改善各國身心障礙者生活條件之重要性，尤其是於</w:t>
      </w:r>
      <w:r>
        <w:rPr>
          <w:spacing w:val="-2"/>
          <w:sz w:val="22"/>
        </w:rPr>
        <w:t>開發中國家，</w:t>
      </w:r>
    </w:p>
    <w:p>
      <w:pPr>
        <w:pStyle w:val="ListParagraph"/>
        <w:numPr>
          <w:ilvl w:val="0"/>
          <w:numId w:val="1"/>
        </w:numPr>
        <w:tabs>
          <w:tab w:pos="980" w:val="left" w:leader="none"/>
        </w:tabs>
        <w:spacing w:line="256" w:lineRule="auto" w:before="2" w:after="0"/>
        <w:ind w:left="980" w:right="1179" w:hanging="660"/>
        <w:jc w:val="both"/>
        <w:rPr>
          <w:sz w:val="22"/>
        </w:rPr>
      </w:pPr>
      <w:r>
        <w:rPr>
          <w:spacing w:val="-2"/>
          <w:sz w:val="22"/>
        </w:rPr>
        <w:t>承認身心障礙者存在之價值與其對社區整體福祉與多樣性所作出之</w:t>
      </w:r>
      <w:r>
        <w:rPr>
          <w:spacing w:val="-2"/>
          <w:sz w:val="22"/>
        </w:rPr>
        <w:t>潛在貢獻，並承認促進身心障礙者充分享有其人權與基本自由，以</w:t>
      </w:r>
      <w:r>
        <w:rPr>
          <w:spacing w:val="-2"/>
          <w:sz w:val="22"/>
        </w:rPr>
        <w:t>及身心障礙者之充分參與，將導致其歸屬感之增強，顯著推進該社</w:t>
      </w:r>
      <w:r>
        <w:rPr>
          <w:spacing w:val="-2"/>
          <w:sz w:val="22"/>
        </w:rPr>
        <w:t>會之人類、社會與經濟發展及消除貧窮，</w:t>
      </w:r>
    </w:p>
    <w:p>
      <w:pPr>
        <w:pStyle w:val="ListParagraph"/>
        <w:numPr>
          <w:ilvl w:val="0"/>
          <w:numId w:val="1"/>
        </w:numPr>
        <w:tabs>
          <w:tab w:pos="980" w:val="left" w:leader="none"/>
        </w:tabs>
        <w:spacing w:line="256" w:lineRule="auto" w:before="3" w:after="0"/>
        <w:ind w:left="980" w:right="1179" w:hanging="660"/>
        <w:jc w:val="both"/>
        <w:rPr>
          <w:sz w:val="22"/>
        </w:rPr>
      </w:pPr>
      <w:r>
        <w:rPr>
          <w:spacing w:val="-2"/>
          <w:sz w:val="22"/>
        </w:rPr>
        <w:t>確認身心障礙者個人自主與自立之重要性，包括作出自己選擇之自</w:t>
      </w:r>
      <w:r>
        <w:rPr>
          <w:spacing w:val="-6"/>
          <w:sz w:val="22"/>
        </w:rPr>
        <w:t>由，</w:t>
      </w:r>
    </w:p>
    <w:p>
      <w:pPr>
        <w:pStyle w:val="ListParagraph"/>
        <w:numPr>
          <w:ilvl w:val="0"/>
          <w:numId w:val="1"/>
        </w:numPr>
        <w:tabs>
          <w:tab w:pos="980" w:val="left" w:leader="none"/>
        </w:tabs>
        <w:spacing w:line="256" w:lineRule="auto" w:before="2" w:after="0"/>
        <w:ind w:left="980" w:right="1179" w:hanging="660"/>
        <w:jc w:val="both"/>
        <w:rPr>
          <w:sz w:val="22"/>
        </w:rPr>
      </w:pPr>
      <w:r>
        <w:rPr>
          <w:spacing w:val="-2"/>
          <w:sz w:val="22"/>
        </w:rPr>
        <w:t>認為身心障礙者應有機會積極參與政策及方案之決策過程，包括與</w:t>
      </w:r>
      <w:r>
        <w:rPr>
          <w:spacing w:val="-2"/>
          <w:sz w:val="22"/>
        </w:rPr>
        <w:t>其直接相關者，</w:t>
      </w:r>
    </w:p>
    <w:p>
      <w:pPr>
        <w:spacing w:after="0" w:line="256" w:lineRule="auto"/>
        <w:jc w:val="both"/>
        <w:rPr>
          <w:sz w:val="22"/>
        </w:rPr>
        <w:sectPr>
          <w:type w:val="continuous"/>
          <w:pgSz w:w="11900" w:h="16840"/>
          <w:pgMar w:top="440" w:bottom="280" w:left="1680" w:right="1680"/>
        </w:sectPr>
      </w:pPr>
    </w:p>
    <w:p>
      <w:pPr>
        <w:pStyle w:val="ListParagraph"/>
        <w:numPr>
          <w:ilvl w:val="0"/>
          <w:numId w:val="1"/>
        </w:numPr>
        <w:tabs>
          <w:tab w:pos="980" w:val="left" w:leader="none"/>
        </w:tabs>
        <w:spacing w:line="240" w:lineRule="auto" w:before="30" w:after="0"/>
        <w:ind w:left="980" w:right="0" w:hanging="660"/>
        <w:jc w:val="left"/>
        <w:rPr>
          <w:sz w:val="22"/>
        </w:rPr>
      </w:pPr>
      <w:r>
        <w:rPr>
          <w:spacing w:val="-1"/>
          <w:sz w:val="22"/>
        </w:rPr>
        <w:t>關注基於種族、膚色、性別、語言、宗教、政治或不同主張、民族</w:t>
      </w:r>
    </w:p>
    <w:p>
      <w:pPr>
        <w:pStyle w:val="BodyText"/>
        <w:spacing w:line="256" w:lineRule="auto" w:before="22"/>
        <w:ind w:left="980"/>
      </w:pPr>
      <w:r>
        <w:rPr>
          <w:spacing w:val="-2"/>
        </w:rPr>
        <w:t>、族裔、原住民或社會背景、財產、出生、年齡或其他身分而受到多重或加重形式歧視之身心障礙者所面臨之困境，</w:t>
      </w:r>
    </w:p>
    <w:p>
      <w:pPr>
        <w:pStyle w:val="ListParagraph"/>
        <w:numPr>
          <w:ilvl w:val="0"/>
          <w:numId w:val="1"/>
        </w:numPr>
        <w:tabs>
          <w:tab w:pos="980" w:val="left" w:leader="none"/>
        </w:tabs>
        <w:spacing w:line="240" w:lineRule="auto" w:before="2" w:after="0"/>
        <w:ind w:left="980" w:right="0" w:hanging="660"/>
        <w:jc w:val="left"/>
        <w:rPr>
          <w:sz w:val="22"/>
        </w:rPr>
      </w:pPr>
      <w:r>
        <w:rPr>
          <w:spacing w:val="-1"/>
          <w:sz w:val="22"/>
        </w:rPr>
        <w:t>確認身心障礙婦女與女孩於家庭內外經常處於更高風險，遭受暴力</w:t>
      </w:r>
    </w:p>
    <w:p>
      <w:pPr>
        <w:pStyle w:val="BodyText"/>
        <w:spacing w:before="22"/>
        <w:ind w:left="980" w:right="0"/>
      </w:pPr>
      <w:r>
        <w:rPr>
          <w:spacing w:val="-1"/>
        </w:rPr>
        <w:t>、傷害或虐待、忽視或疏忽、不當對待或剝削，</w:t>
      </w:r>
    </w:p>
    <w:p>
      <w:pPr>
        <w:pStyle w:val="ListParagraph"/>
        <w:numPr>
          <w:ilvl w:val="0"/>
          <w:numId w:val="1"/>
        </w:numPr>
        <w:tabs>
          <w:tab w:pos="980" w:val="left" w:leader="none"/>
        </w:tabs>
        <w:spacing w:line="256" w:lineRule="auto" w:before="22" w:after="0"/>
        <w:ind w:left="980" w:right="1179" w:hanging="660"/>
        <w:jc w:val="left"/>
        <w:rPr>
          <w:sz w:val="22"/>
        </w:rPr>
      </w:pPr>
      <w:r>
        <w:rPr>
          <w:spacing w:val="-2"/>
          <w:sz w:val="22"/>
        </w:rPr>
        <w:t>確認身心障礙兒童應在與其他兒童平等基礎上充分享有所有人權與</w:t>
      </w:r>
      <w:r>
        <w:rPr>
          <w:spacing w:val="-2"/>
          <w:sz w:val="22"/>
        </w:rPr>
        <w:t>基本自由，並重申兒童權利公約締約國為此目的承擔之義務，</w:t>
      </w:r>
    </w:p>
    <w:p>
      <w:pPr>
        <w:pStyle w:val="ListParagraph"/>
        <w:numPr>
          <w:ilvl w:val="0"/>
          <w:numId w:val="1"/>
        </w:numPr>
        <w:tabs>
          <w:tab w:pos="980" w:val="left" w:leader="none"/>
        </w:tabs>
        <w:spacing w:line="256" w:lineRule="auto" w:before="2" w:after="0"/>
        <w:ind w:left="980" w:right="1179" w:hanging="660"/>
        <w:jc w:val="left"/>
        <w:rPr>
          <w:sz w:val="22"/>
        </w:rPr>
      </w:pPr>
      <w:r>
        <w:rPr>
          <w:spacing w:val="-2"/>
          <w:sz w:val="22"/>
        </w:rPr>
        <w:t>強調於促進身心障礙者充分享有人權與基本自由之所有努力必須納</w:t>
      </w:r>
      <w:r>
        <w:rPr>
          <w:spacing w:val="-2"/>
          <w:sz w:val="22"/>
        </w:rPr>
        <w:t>入性別平等觀點，</w:t>
      </w:r>
    </w:p>
    <w:p>
      <w:pPr>
        <w:pStyle w:val="ListParagraph"/>
        <w:numPr>
          <w:ilvl w:val="0"/>
          <w:numId w:val="1"/>
        </w:numPr>
        <w:tabs>
          <w:tab w:pos="980" w:val="left" w:leader="none"/>
        </w:tabs>
        <w:spacing w:line="256" w:lineRule="auto" w:before="2" w:after="0"/>
        <w:ind w:left="980" w:right="1179" w:hanging="660"/>
        <w:jc w:val="left"/>
        <w:rPr>
          <w:sz w:val="22"/>
        </w:rPr>
      </w:pPr>
      <w:r>
        <w:rPr>
          <w:spacing w:val="-2"/>
          <w:sz w:val="22"/>
        </w:rPr>
        <w:t>凸顯大多數身心障礙者生活貧困之事實，確認於此方面亟需消除貧</w:t>
      </w:r>
      <w:r>
        <w:rPr>
          <w:spacing w:val="-2"/>
          <w:sz w:val="22"/>
        </w:rPr>
        <w:t>窮對身心障礙者之不利影響，</w:t>
      </w:r>
    </w:p>
    <w:p>
      <w:pPr>
        <w:pStyle w:val="ListParagraph"/>
        <w:numPr>
          <w:ilvl w:val="0"/>
          <w:numId w:val="1"/>
        </w:numPr>
        <w:tabs>
          <w:tab w:pos="980" w:val="left" w:leader="none"/>
        </w:tabs>
        <w:spacing w:line="240" w:lineRule="auto" w:before="1" w:after="0"/>
        <w:ind w:left="980" w:right="0" w:hanging="660"/>
        <w:jc w:val="left"/>
        <w:rPr>
          <w:sz w:val="22"/>
        </w:rPr>
      </w:pPr>
      <w:r>
        <w:rPr>
          <w:spacing w:val="-1"/>
          <w:sz w:val="22"/>
        </w:rPr>
        <w:t>銘記和平與安全之條件必須立基於充分尊重聯合國憲章宗旨與原則</w:t>
      </w:r>
    </w:p>
    <w:p>
      <w:pPr>
        <w:pStyle w:val="BodyText"/>
        <w:spacing w:line="256" w:lineRule="auto" w:before="23"/>
        <w:ind w:left="980"/>
      </w:pPr>
      <w:r>
        <w:rPr>
          <w:spacing w:val="-2"/>
        </w:rPr>
        <w:t>，以及遵守現行人權文書，特別是於武裝衝突與外國佔領期間，對身心障礙者之保障為不可或缺，</w:t>
      </w:r>
    </w:p>
    <w:p>
      <w:pPr>
        <w:pStyle w:val="ListParagraph"/>
        <w:numPr>
          <w:ilvl w:val="0"/>
          <w:numId w:val="1"/>
        </w:numPr>
        <w:tabs>
          <w:tab w:pos="980" w:val="left" w:leader="none"/>
        </w:tabs>
        <w:spacing w:line="256" w:lineRule="auto" w:before="1" w:after="0"/>
        <w:ind w:left="980" w:right="1179" w:hanging="660"/>
        <w:jc w:val="left"/>
        <w:rPr>
          <w:sz w:val="22"/>
        </w:rPr>
      </w:pPr>
      <w:r>
        <w:rPr>
          <w:spacing w:val="-2"/>
          <w:sz w:val="22"/>
        </w:rPr>
        <w:t>確認無障礙之物理、社會、經濟與文化環境、健康與教育，以及資</w:t>
      </w:r>
      <w:r>
        <w:rPr>
          <w:spacing w:val="-2"/>
          <w:sz w:val="22"/>
        </w:rPr>
        <w:t>訊與傳播，使身心障礙者能充分享有所有人權與基本自由之重要性</w:t>
      </w:r>
    </w:p>
    <w:p>
      <w:pPr>
        <w:spacing w:before="2"/>
        <w:ind w:left="980" w:right="0" w:firstLine="0"/>
        <w:jc w:val="left"/>
        <w:rPr>
          <w:sz w:val="22"/>
        </w:rPr>
      </w:pPr>
      <w:r>
        <w:rPr>
          <w:sz w:val="22"/>
        </w:rPr>
        <w:t>，</w:t>
      </w:r>
    </w:p>
    <w:p>
      <w:pPr>
        <w:pStyle w:val="ListParagraph"/>
        <w:numPr>
          <w:ilvl w:val="0"/>
          <w:numId w:val="1"/>
        </w:numPr>
        <w:tabs>
          <w:tab w:pos="980" w:val="left" w:leader="none"/>
        </w:tabs>
        <w:spacing w:line="256" w:lineRule="auto" w:before="22" w:after="0"/>
        <w:ind w:left="980" w:right="1179" w:hanging="660"/>
        <w:jc w:val="both"/>
        <w:rPr>
          <w:sz w:val="22"/>
        </w:rPr>
      </w:pPr>
      <w:r>
        <w:rPr>
          <w:spacing w:val="-2"/>
          <w:sz w:val="22"/>
        </w:rPr>
        <w:t>理解個人對他人與對本人所屬社區負有義務，有責任努力促進及遵</w:t>
      </w:r>
      <w:r>
        <w:rPr>
          <w:spacing w:val="-2"/>
          <w:sz w:val="22"/>
        </w:rPr>
        <w:t>守國際人權憲章所確認之權利，</w:t>
      </w:r>
    </w:p>
    <w:p>
      <w:pPr>
        <w:pStyle w:val="ListParagraph"/>
        <w:numPr>
          <w:ilvl w:val="0"/>
          <w:numId w:val="1"/>
        </w:numPr>
        <w:tabs>
          <w:tab w:pos="980" w:val="left" w:leader="none"/>
        </w:tabs>
        <w:spacing w:line="256" w:lineRule="auto" w:before="2" w:after="0"/>
        <w:ind w:left="980" w:right="1179" w:hanging="660"/>
        <w:jc w:val="both"/>
        <w:rPr>
          <w:sz w:val="22"/>
        </w:rPr>
      </w:pPr>
      <w:r>
        <w:rPr>
          <w:spacing w:val="-2"/>
          <w:sz w:val="22"/>
        </w:rPr>
        <w:t>深信家庭是自然與基本之社會團體單元，有權獲得社會與國家之保</w:t>
      </w:r>
      <w:r>
        <w:rPr>
          <w:spacing w:val="-2"/>
          <w:sz w:val="22"/>
        </w:rPr>
        <w:t>障，身心障礙者及其家庭成員應獲得必要之保障及協助，使家庭能</w:t>
      </w:r>
      <w:r>
        <w:rPr>
          <w:spacing w:val="-2"/>
          <w:sz w:val="22"/>
        </w:rPr>
        <w:t>夠為身心障礙者充分及平等地享有其權利作出貢獻，</w:t>
      </w:r>
    </w:p>
    <w:p>
      <w:pPr>
        <w:pStyle w:val="ListParagraph"/>
        <w:numPr>
          <w:ilvl w:val="0"/>
          <w:numId w:val="1"/>
        </w:numPr>
        <w:tabs>
          <w:tab w:pos="980" w:val="left" w:leader="none"/>
        </w:tabs>
        <w:spacing w:line="240" w:lineRule="auto" w:before="2" w:after="0"/>
        <w:ind w:left="980" w:right="0" w:hanging="660"/>
        <w:jc w:val="both"/>
        <w:rPr>
          <w:sz w:val="22"/>
        </w:rPr>
      </w:pPr>
      <w:r>
        <w:rPr>
          <w:spacing w:val="-1"/>
          <w:sz w:val="22"/>
        </w:rPr>
        <w:t>深信一份促進與保障身心障礙者權利及尊嚴之全面整合的國際公約</w:t>
      </w:r>
    </w:p>
    <w:p>
      <w:pPr>
        <w:pStyle w:val="BodyText"/>
        <w:spacing w:line="256" w:lineRule="auto" w:before="22"/>
        <w:ind w:left="980"/>
      </w:pPr>
      <w:r>
        <w:rPr>
          <w:spacing w:val="-2"/>
        </w:rPr>
        <w:t>，對於開發中及已開發國家補救身心障礙者之重大社會不利處境及</w:t>
      </w:r>
      <w:r>
        <w:rPr>
          <w:spacing w:val="-1"/>
        </w:rPr>
        <w:t>促使其參與公民、政治、經濟、社會及文化等面向具有重大貢獻，</w:t>
      </w:r>
    </w:p>
    <w:p>
      <w:pPr>
        <w:pStyle w:val="BodyText"/>
        <w:spacing w:before="10"/>
        <w:ind w:left="0" w:right="0"/>
        <w:rPr>
          <w:sz w:val="23"/>
        </w:rPr>
      </w:pPr>
    </w:p>
    <w:p>
      <w:pPr>
        <w:pStyle w:val="BodyText"/>
        <w:spacing w:before="0"/>
        <w:ind w:left="320" w:right="0"/>
      </w:pPr>
      <w:r>
        <w:rPr>
          <w:spacing w:val="-2"/>
        </w:rPr>
        <w:t>茲協議如下：</w:t>
      </w:r>
    </w:p>
    <w:p>
      <w:pPr>
        <w:pStyle w:val="BodyText"/>
        <w:spacing w:before="11"/>
        <w:ind w:left="0" w:right="0"/>
        <w:rPr>
          <w:sz w:val="4"/>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
        <w:gridCol w:w="275"/>
        <w:gridCol w:w="440"/>
        <w:gridCol w:w="6100"/>
      </w:tblGrid>
      <w:tr>
        <w:trPr>
          <w:trHeight w:val="275" w:hRule="atLeast"/>
        </w:trPr>
        <w:tc>
          <w:tcPr>
            <w:tcW w:w="325" w:type="dxa"/>
          </w:tcPr>
          <w:p>
            <w:pPr>
              <w:pStyle w:val="TableParagraph"/>
              <w:spacing w:line="255" w:lineRule="exact"/>
              <w:ind w:right="54"/>
              <w:jc w:val="right"/>
              <w:rPr>
                <w:sz w:val="22"/>
              </w:rPr>
            </w:pPr>
            <w:r>
              <w:rPr>
                <w:sz w:val="22"/>
              </w:rPr>
              <w:t>第</w:t>
            </w:r>
          </w:p>
        </w:tc>
        <w:tc>
          <w:tcPr>
            <w:tcW w:w="275" w:type="dxa"/>
          </w:tcPr>
          <w:p>
            <w:pPr>
              <w:pStyle w:val="TableParagraph"/>
              <w:spacing w:line="255" w:lineRule="exact"/>
              <w:ind w:right="54"/>
              <w:jc w:val="center"/>
              <w:rPr>
                <w:sz w:val="22"/>
              </w:rPr>
            </w:pPr>
            <w:r>
              <w:rPr>
                <w:sz w:val="22"/>
              </w:rPr>
              <w:t>1</w:t>
            </w:r>
          </w:p>
        </w:tc>
        <w:tc>
          <w:tcPr>
            <w:tcW w:w="440" w:type="dxa"/>
          </w:tcPr>
          <w:p>
            <w:pPr>
              <w:pStyle w:val="TableParagraph"/>
              <w:spacing w:line="255" w:lineRule="exact"/>
              <w:jc w:val="center"/>
              <w:rPr>
                <w:sz w:val="22"/>
              </w:rPr>
            </w:pPr>
            <w:r>
              <w:rPr>
                <w:sz w:val="22"/>
              </w:rPr>
              <w:t>條</w:t>
            </w:r>
          </w:p>
        </w:tc>
        <w:tc>
          <w:tcPr>
            <w:tcW w:w="6100" w:type="dxa"/>
          </w:tcPr>
          <w:p>
            <w:pPr>
              <w:pStyle w:val="TableParagraph"/>
              <w:spacing w:line="255" w:lineRule="exact"/>
              <w:ind w:left="110"/>
              <w:rPr>
                <w:sz w:val="22"/>
              </w:rPr>
            </w:pPr>
            <w:r>
              <w:rPr>
                <w:spacing w:val="-5"/>
                <w:sz w:val="22"/>
              </w:rPr>
              <w:t>宗旨</w:t>
            </w:r>
          </w:p>
        </w:tc>
      </w:tr>
      <w:tr>
        <w:trPr>
          <w:trHeight w:val="330" w:hRule="atLeast"/>
        </w:trPr>
        <w:tc>
          <w:tcPr>
            <w:tcW w:w="325" w:type="dxa"/>
          </w:tcPr>
          <w:p>
            <w:pPr>
              <w:pStyle w:val="TableParagraph"/>
              <w:rPr>
                <w:rFonts w:ascii="Times New Roman"/>
                <w:sz w:val="22"/>
              </w:rPr>
            </w:pPr>
          </w:p>
        </w:tc>
        <w:tc>
          <w:tcPr>
            <w:tcW w:w="275" w:type="dxa"/>
          </w:tcPr>
          <w:p>
            <w:pPr>
              <w:pStyle w:val="TableParagraph"/>
              <w:rPr>
                <w:rFonts w:ascii="Times New Roman"/>
                <w:sz w:val="22"/>
              </w:rPr>
            </w:pPr>
          </w:p>
        </w:tc>
        <w:tc>
          <w:tcPr>
            <w:tcW w:w="440" w:type="dxa"/>
          </w:tcPr>
          <w:p>
            <w:pPr>
              <w:pStyle w:val="TableParagraph"/>
              <w:rPr>
                <w:rFonts w:ascii="Times New Roman"/>
                <w:sz w:val="22"/>
              </w:rPr>
            </w:pPr>
          </w:p>
        </w:tc>
        <w:tc>
          <w:tcPr>
            <w:tcW w:w="6100" w:type="dxa"/>
          </w:tcPr>
          <w:p>
            <w:pPr>
              <w:pStyle w:val="TableParagraph"/>
              <w:spacing w:line="299" w:lineRule="exact" w:before="11"/>
              <w:ind w:left="110"/>
              <w:rPr>
                <w:sz w:val="22"/>
              </w:rPr>
            </w:pPr>
            <w:r>
              <w:rPr>
                <w:spacing w:val="-1"/>
                <w:sz w:val="22"/>
              </w:rPr>
              <w:t>本公約宗旨係促進、保障與確保所有身心障礙者充分及平等享</w:t>
            </w:r>
          </w:p>
        </w:tc>
      </w:tr>
      <w:tr>
        <w:trPr>
          <w:trHeight w:val="330" w:hRule="atLeast"/>
        </w:trPr>
        <w:tc>
          <w:tcPr>
            <w:tcW w:w="325" w:type="dxa"/>
          </w:tcPr>
          <w:p>
            <w:pPr>
              <w:pStyle w:val="TableParagraph"/>
              <w:rPr>
                <w:rFonts w:ascii="Times New Roman"/>
                <w:sz w:val="22"/>
              </w:rPr>
            </w:pPr>
          </w:p>
        </w:tc>
        <w:tc>
          <w:tcPr>
            <w:tcW w:w="275" w:type="dxa"/>
          </w:tcPr>
          <w:p>
            <w:pPr>
              <w:pStyle w:val="TableParagraph"/>
              <w:rPr>
                <w:rFonts w:ascii="Times New Roman"/>
                <w:sz w:val="22"/>
              </w:rPr>
            </w:pPr>
          </w:p>
        </w:tc>
        <w:tc>
          <w:tcPr>
            <w:tcW w:w="440" w:type="dxa"/>
          </w:tcPr>
          <w:p>
            <w:pPr>
              <w:pStyle w:val="TableParagraph"/>
              <w:rPr>
                <w:rFonts w:ascii="Times New Roman"/>
                <w:sz w:val="22"/>
              </w:rPr>
            </w:pPr>
          </w:p>
        </w:tc>
        <w:tc>
          <w:tcPr>
            <w:tcW w:w="6100" w:type="dxa"/>
          </w:tcPr>
          <w:p>
            <w:pPr>
              <w:pStyle w:val="TableParagraph"/>
              <w:spacing w:line="299" w:lineRule="exact" w:before="11"/>
              <w:ind w:left="110"/>
              <w:rPr>
                <w:sz w:val="22"/>
              </w:rPr>
            </w:pPr>
            <w:r>
              <w:rPr>
                <w:spacing w:val="-1"/>
                <w:sz w:val="22"/>
              </w:rPr>
              <w:t>有所有人權及基本自由，並促進對身心障礙者固有尊嚴之尊重</w:t>
            </w:r>
          </w:p>
        </w:tc>
      </w:tr>
      <w:tr>
        <w:trPr>
          <w:trHeight w:val="330" w:hRule="atLeast"/>
        </w:trPr>
        <w:tc>
          <w:tcPr>
            <w:tcW w:w="325" w:type="dxa"/>
          </w:tcPr>
          <w:p>
            <w:pPr>
              <w:pStyle w:val="TableParagraph"/>
              <w:rPr>
                <w:rFonts w:ascii="Times New Roman"/>
                <w:sz w:val="22"/>
              </w:rPr>
            </w:pPr>
          </w:p>
        </w:tc>
        <w:tc>
          <w:tcPr>
            <w:tcW w:w="275" w:type="dxa"/>
          </w:tcPr>
          <w:p>
            <w:pPr>
              <w:pStyle w:val="TableParagraph"/>
              <w:rPr>
                <w:rFonts w:ascii="Times New Roman"/>
                <w:sz w:val="22"/>
              </w:rPr>
            </w:pPr>
          </w:p>
        </w:tc>
        <w:tc>
          <w:tcPr>
            <w:tcW w:w="440" w:type="dxa"/>
          </w:tcPr>
          <w:p>
            <w:pPr>
              <w:pStyle w:val="TableParagraph"/>
              <w:rPr>
                <w:rFonts w:ascii="Times New Roman"/>
                <w:sz w:val="22"/>
              </w:rPr>
            </w:pPr>
          </w:p>
        </w:tc>
        <w:tc>
          <w:tcPr>
            <w:tcW w:w="6100" w:type="dxa"/>
          </w:tcPr>
          <w:p>
            <w:pPr>
              <w:pStyle w:val="TableParagraph"/>
              <w:spacing w:line="299" w:lineRule="exact" w:before="11"/>
              <w:ind w:left="110"/>
              <w:rPr>
                <w:sz w:val="22"/>
              </w:rPr>
            </w:pPr>
            <w:r>
              <w:rPr>
                <w:sz w:val="22"/>
              </w:rPr>
              <w:t>。</w:t>
            </w:r>
          </w:p>
        </w:tc>
      </w:tr>
      <w:tr>
        <w:trPr>
          <w:trHeight w:val="330" w:hRule="atLeast"/>
        </w:trPr>
        <w:tc>
          <w:tcPr>
            <w:tcW w:w="325" w:type="dxa"/>
          </w:tcPr>
          <w:p>
            <w:pPr>
              <w:pStyle w:val="TableParagraph"/>
              <w:rPr>
                <w:rFonts w:ascii="Times New Roman"/>
                <w:sz w:val="22"/>
              </w:rPr>
            </w:pPr>
          </w:p>
        </w:tc>
        <w:tc>
          <w:tcPr>
            <w:tcW w:w="275" w:type="dxa"/>
          </w:tcPr>
          <w:p>
            <w:pPr>
              <w:pStyle w:val="TableParagraph"/>
              <w:rPr>
                <w:rFonts w:ascii="Times New Roman"/>
                <w:sz w:val="22"/>
              </w:rPr>
            </w:pPr>
          </w:p>
        </w:tc>
        <w:tc>
          <w:tcPr>
            <w:tcW w:w="440" w:type="dxa"/>
          </w:tcPr>
          <w:p>
            <w:pPr>
              <w:pStyle w:val="TableParagraph"/>
              <w:rPr>
                <w:rFonts w:ascii="Times New Roman"/>
                <w:sz w:val="22"/>
              </w:rPr>
            </w:pPr>
          </w:p>
        </w:tc>
        <w:tc>
          <w:tcPr>
            <w:tcW w:w="6100" w:type="dxa"/>
          </w:tcPr>
          <w:p>
            <w:pPr>
              <w:pStyle w:val="TableParagraph"/>
              <w:spacing w:line="299" w:lineRule="exact" w:before="11"/>
              <w:ind w:left="110"/>
              <w:rPr>
                <w:sz w:val="22"/>
              </w:rPr>
            </w:pPr>
            <w:r>
              <w:rPr>
                <w:spacing w:val="-1"/>
                <w:sz w:val="22"/>
              </w:rPr>
              <w:t>身心障礙者包括肢體、精神、智力或感官長期損傷者，其損傷</w:t>
            </w:r>
          </w:p>
        </w:tc>
      </w:tr>
      <w:tr>
        <w:trPr>
          <w:trHeight w:val="330" w:hRule="atLeast"/>
        </w:trPr>
        <w:tc>
          <w:tcPr>
            <w:tcW w:w="325" w:type="dxa"/>
          </w:tcPr>
          <w:p>
            <w:pPr>
              <w:pStyle w:val="TableParagraph"/>
              <w:rPr>
                <w:rFonts w:ascii="Times New Roman"/>
                <w:sz w:val="22"/>
              </w:rPr>
            </w:pPr>
          </w:p>
        </w:tc>
        <w:tc>
          <w:tcPr>
            <w:tcW w:w="275" w:type="dxa"/>
          </w:tcPr>
          <w:p>
            <w:pPr>
              <w:pStyle w:val="TableParagraph"/>
              <w:rPr>
                <w:rFonts w:ascii="Times New Roman"/>
                <w:sz w:val="22"/>
              </w:rPr>
            </w:pPr>
          </w:p>
        </w:tc>
        <w:tc>
          <w:tcPr>
            <w:tcW w:w="440" w:type="dxa"/>
          </w:tcPr>
          <w:p>
            <w:pPr>
              <w:pStyle w:val="TableParagraph"/>
              <w:rPr>
                <w:rFonts w:ascii="Times New Roman"/>
                <w:sz w:val="22"/>
              </w:rPr>
            </w:pPr>
          </w:p>
        </w:tc>
        <w:tc>
          <w:tcPr>
            <w:tcW w:w="6100" w:type="dxa"/>
          </w:tcPr>
          <w:p>
            <w:pPr>
              <w:pStyle w:val="TableParagraph"/>
              <w:spacing w:line="299" w:lineRule="exact" w:before="11"/>
              <w:ind w:left="110"/>
              <w:rPr>
                <w:sz w:val="22"/>
              </w:rPr>
            </w:pPr>
            <w:r>
              <w:rPr>
                <w:spacing w:val="-1"/>
                <w:sz w:val="22"/>
              </w:rPr>
              <w:t>與各種障礙相互作用，可能阻礙身心障礙者與他人於平等基礎</w:t>
            </w:r>
          </w:p>
        </w:tc>
      </w:tr>
      <w:tr>
        <w:trPr>
          <w:trHeight w:val="330" w:hRule="atLeast"/>
        </w:trPr>
        <w:tc>
          <w:tcPr>
            <w:tcW w:w="325" w:type="dxa"/>
          </w:tcPr>
          <w:p>
            <w:pPr>
              <w:pStyle w:val="TableParagraph"/>
              <w:rPr>
                <w:rFonts w:ascii="Times New Roman"/>
                <w:sz w:val="22"/>
              </w:rPr>
            </w:pPr>
          </w:p>
        </w:tc>
        <w:tc>
          <w:tcPr>
            <w:tcW w:w="275" w:type="dxa"/>
          </w:tcPr>
          <w:p>
            <w:pPr>
              <w:pStyle w:val="TableParagraph"/>
              <w:rPr>
                <w:rFonts w:ascii="Times New Roman"/>
                <w:sz w:val="22"/>
              </w:rPr>
            </w:pPr>
          </w:p>
        </w:tc>
        <w:tc>
          <w:tcPr>
            <w:tcW w:w="440" w:type="dxa"/>
          </w:tcPr>
          <w:p>
            <w:pPr>
              <w:pStyle w:val="TableParagraph"/>
              <w:rPr>
                <w:rFonts w:ascii="Times New Roman"/>
                <w:sz w:val="22"/>
              </w:rPr>
            </w:pPr>
          </w:p>
        </w:tc>
        <w:tc>
          <w:tcPr>
            <w:tcW w:w="6100" w:type="dxa"/>
          </w:tcPr>
          <w:p>
            <w:pPr>
              <w:pStyle w:val="TableParagraph"/>
              <w:spacing w:line="299" w:lineRule="exact" w:before="11"/>
              <w:ind w:left="110"/>
              <w:rPr>
                <w:sz w:val="22"/>
              </w:rPr>
            </w:pPr>
            <w:r>
              <w:rPr>
                <w:spacing w:val="-1"/>
                <w:sz w:val="22"/>
              </w:rPr>
              <w:t>上充分有效參與社會。</w:t>
            </w:r>
          </w:p>
        </w:tc>
      </w:tr>
      <w:tr>
        <w:trPr>
          <w:trHeight w:val="330" w:hRule="atLeast"/>
        </w:trPr>
        <w:tc>
          <w:tcPr>
            <w:tcW w:w="325" w:type="dxa"/>
          </w:tcPr>
          <w:p>
            <w:pPr>
              <w:pStyle w:val="TableParagraph"/>
              <w:spacing w:line="299" w:lineRule="exact" w:before="11"/>
              <w:ind w:right="54"/>
              <w:jc w:val="right"/>
              <w:rPr>
                <w:sz w:val="22"/>
              </w:rPr>
            </w:pPr>
            <w:r>
              <w:rPr>
                <w:sz w:val="22"/>
              </w:rPr>
              <w:t>第</w:t>
            </w:r>
          </w:p>
        </w:tc>
        <w:tc>
          <w:tcPr>
            <w:tcW w:w="275" w:type="dxa"/>
          </w:tcPr>
          <w:p>
            <w:pPr>
              <w:pStyle w:val="TableParagraph"/>
              <w:spacing w:line="299" w:lineRule="exact" w:before="11"/>
              <w:ind w:right="54"/>
              <w:jc w:val="center"/>
              <w:rPr>
                <w:sz w:val="22"/>
              </w:rPr>
            </w:pPr>
            <w:r>
              <w:rPr>
                <w:sz w:val="22"/>
              </w:rPr>
              <w:t>2</w:t>
            </w:r>
          </w:p>
        </w:tc>
        <w:tc>
          <w:tcPr>
            <w:tcW w:w="440" w:type="dxa"/>
          </w:tcPr>
          <w:p>
            <w:pPr>
              <w:pStyle w:val="TableParagraph"/>
              <w:spacing w:line="299" w:lineRule="exact" w:before="11"/>
              <w:jc w:val="center"/>
              <w:rPr>
                <w:sz w:val="22"/>
              </w:rPr>
            </w:pPr>
            <w:r>
              <w:rPr>
                <w:sz w:val="22"/>
              </w:rPr>
              <w:t>條</w:t>
            </w:r>
          </w:p>
        </w:tc>
        <w:tc>
          <w:tcPr>
            <w:tcW w:w="6100" w:type="dxa"/>
          </w:tcPr>
          <w:p>
            <w:pPr>
              <w:pStyle w:val="TableParagraph"/>
              <w:spacing w:line="299" w:lineRule="exact" w:before="11"/>
              <w:ind w:left="110"/>
              <w:rPr>
                <w:sz w:val="22"/>
              </w:rPr>
            </w:pPr>
            <w:r>
              <w:rPr>
                <w:spacing w:val="-5"/>
                <w:sz w:val="22"/>
              </w:rPr>
              <w:t>定義</w:t>
            </w:r>
          </w:p>
        </w:tc>
      </w:tr>
      <w:tr>
        <w:trPr>
          <w:trHeight w:val="330" w:hRule="atLeast"/>
        </w:trPr>
        <w:tc>
          <w:tcPr>
            <w:tcW w:w="1040" w:type="dxa"/>
            <w:gridSpan w:val="3"/>
            <w:vMerge w:val="restart"/>
          </w:tcPr>
          <w:p>
            <w:pPr>
              <w:pStyle w:val="TableParagraph"/>
              <w:rPr>
                <w:rFonts w:ascii="Times New Roman"/>
                <w:sz w:val="22"/>
              </w:rPr>
            </w:pPr>
          </w:p>
        </w:tc>
        <w:tc>
          <w:tcPr>
            <w:tcW w:w="6100" w:type="dxa"/>
          </w:tcPr>
          <w:p>
            <w:pPr>
              <w:pStyle w:val="TableParagraph"/>
              <w:spacing w:line="299" w:lineRule="exact" w:before="11"/>
              <w:ind w:left="110"/>
              <w:rPr>
                <w:sz w:val="22"/>
              </w:rPr>
            </w:pPr>
            <w:r>
              <w:rPr>
                <w:spacing w:val="-2"/>
                <w:sz w:val="22"/>
              </w:rPr>
              <w:t>為本公約之宗旨：</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“傳播”包括語言、字幕、點字文件、觸覺傳播、放大文件、</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無障礙多媒體及書面語言、聽力語言、淺白語言、報讀員及其</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他輔助或替代性傳播方法、模式及格式，包括無障礙資訊及通</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3"/>
                <w:sz w:val="22"/>
              </w:rPr>
              <w:t>信技術；</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“語言”包括口語、手語及其他形式之非語音語言；</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“基於身心障礙之歧視”是指基於身心障礙而作出之任何區別</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、排斥或限制，其目的或效果損害或廢除在與其他人平等基礎</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上於政治、經濟、社會、文化、公民或任何其他領域，所有人</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權及基本自由之認可、享有或行使。基於身心障礙之歧視包括</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所有形式之歧視，包括拒絕提供合理之對待；</w:t>
            </w:r>
          </w:p>
        </w:tc>
      </w:tr>
      <w:tr>
        <w:trPr>
          <w:trHeight w:val="330" w:hRule="atLeast"/>
        </w:trPr>
        <w:tc>
          <w:tcPr>
            <w:tcW w:w="1040" w:type="dxa"/>
            <w:gridSpan w:val="3"/>
            <w:vMerge/>
            <w:tcBorders>
              <w:top w:val="nil"/>
            </w:tcBorders>
          </w:tcPr>
          <w:p>
            <w:pPr>
              <w:rPr>
                <w:sz w:val="2"/>
                <w:szCs w:val="2"/>
              </w:rPr>
            </w:pPr>
          </w:p>
        </w:tc>
        <w:tc>
          <w:tcPr>
            <w:tcW w:w="6100" w:type="dxa"/>
          </w:tcPr>
          <w:p>
            <w:pPr>
              <w:pStyle w:val="TableParagraph"/>
              <w:spacing w:line="299" w:lineRule="exact" w:before="11"/>
              <w:ind w:left="110"/>
              <w:rPr>
                <w:sz w:val="22"/>
              </w:rPr>
            </w:pPr>
            <w:r>
              <w:rPr>
                <w:spacing w:val="-1"/>
                <w:sz w:val="22"/>
              </w:rPr>
              <w:t>“合理之對待”是指根據具體需要，於不造成過度或不當負擔</w:t>
            </w:r>
          </w:p>
        </w:tc>
      </w:tr>
      <w:tr>
        <w:trPr>
          <w:trHeight w:val="275" w:hRule="atLeast"/>
        </w:trPr>
        <w:tc>
          <w:tcPr>
            <w:tcW w:w="1040" w:type="dxa"/>
            <w:gridSpan w:val="3"/>
            <w:vMerge/>
            <w:tcBorders>
              <w:top w:val="nil"/>
            </w:tcBorders>
          </w:tcPr>
          <w:p>
            <w:pPr>
              <w:rPr>
                <w:sz w:val="2"/>
                <w:szCs w:val="2"/>
              </w:rPr>
            </w:pPr>
          </w:p>
        </w:tc>
        <w:tc>
          <w:tcPr>
            <w:tcW w:w="6100" w:type="dxa"/>
          </w:tcPr>
          <w:p>
            <w:pPr>
              <w:pStyle w:val="TableParagraph"/>
              <w:spacing w:line="244" w:lineRule="exact" w:before="11"/>
              <w:ind w:left="110"/>
              <w:rPr>
                <w:sz w:val="22"/>
              </w:rPr>
            </w:pPr>
            <w:r>
              <w:rPr>
                <w:spacing w:val="-1"/>
                <w:sz w:val="22"/>
              </w:rPr>
              <w:t>之情況下，進行必要及適當之修改與調整，以確保身心障礙者</w:t>
            </w:r>
          </w:p>
        </w:tc>
      </w:tr>
    </w:tbl>
    <w:p>
      <w:pPr>
        <w:spacing w:after="0" w:line="244" w:lineRule="exact"/>
        <w:rPr>
          <w:sz w:val="22"/>
        </w:rPr>
        <w:sectPr>
          <w:pgSz w:w="11900" w:h="16840"/>
          <w:pgMar w:top="480" w:bottom="280" w:left="1680" w:right="1680"/>
        </w:sectPr>
      </w:pPr>
    </w:p>
    <w:p>
      <w:pPr>
        <w:pStyle w:val="BodyText"/>
        <w:spacing w:line="256" w:lineRule="auto" w:before="30"/>
        <w:ind w:left="1420"/>
      </w:pPr>
      <w:r>
        <w:rPr>
          <w:spacing w:val="-2"/>
        </w:rPr>
        <w:t>在與其他人平等基礎上享有或行使所有人權及基本自由；</w:t>
      </w:r>
      <w:r>
        <w:rPr>
          <w:spacing w:val="80"/>
        </w:rPr>
        <w:t>  </w:t>
      </w:r>
      <w:r>
        <w:rPr>
          <w:spacing w:val="-2"/>
        </w:rPr>
        <w:t>“通用設計”是指盡最大可能讓所有人可以使用，無需作出調整或特別設計之產品、環境、方案與服務設計。</w:t>
      </w:r>
      <w:r>
        <w:rPr>
          <w:spacing w:val="80"/>
          <w:w w:val="150"/>
        </w:rPr>
        <w:t>     </w:t>
      </w:r>
      <w:r>
        <w:rPr>
          <w:spacing w:val="-2"/>
        </w:rPr>
        <w:t>“通用設計”不應排除於必要情況下，為特定身心障礙者群體提供輔助用具。</w:t>
      </w:r>
    </w:p>
    <w:p>
      <w:pPr>
        <w:pStyle w:val="BodyText"/>
        <w:tabs>
          <w:tab w:pos="979" w:val="left" w:leader="none"/>
          <w:tab w:pos="1419" w:val="left" w:leader="none"/>
        </w:tabs>
        <w:spacing w:before="4"/>
        <w:ind w:left="320" w:right="0"/>
      </w:pPr>
      <w:r>
        <w:rPr/>
        <w:t>第 </w:t>
      </w:r>
      <w:r>
        <w:rPr>
          <w:spacing w:val="-10"/>
        </w:rPr>
        <w:t>3</w:t>
      </w:r>
      <w:r>
        <w:rPr/>
        <w:tab/>
      </w:r>
      <w:r>
        <w:rPr>
          <w:spacing w:val="-10"/>
        </w:rPr>
        <w:t>條</w:t>
      </w:r>
      <w:r>
        <w:rPr/>
        <w:tab/>
        <w:t>一般原</w:t>
      </w:r>
      <w:r>
        <w:rPr>
          <w:spacing w:val="-10"/>
        </w:rPr>
        <w:t>則</w:t>
      </w:r>
    </w:p>
    <w:p>
      <w:pPr>
        <w:pStyle w:val="BodyText"/>
        <w:spacing w:before="22"/>
        <w:ind w:left="1420" w:right="0"/>
      </w:pPr>
      <w:r>
        <w:rPr>
          <w:spacing w:val="-2"/>
        </w:rPr>
        <w:t>本公約之原則是：</w:t>
      </w:r>
    </w:p>
    <w:p>
      <w:pPr>
        <w:pStyle w:val="BodyText"/>
        <w:spacing w:line="256" w:lineRule="auto" w:before="22"/>
        <w:ind w:left="1860" w:hanging="550"/>
      </w:pPr>
      <w:r>
        <w:rPr>
          <w:spacing w:val="-2"/>
        </w:rPr>
        <w:t>（a）尊重固有尊嚴、包括自由作出自己選擇之個人自主及個人</w:t>
      </w:r>
      <w:r>
        <w:rPr>
          <w:spacing w:val="-4"/>
        </w:rPr>
        <w:t>自立；</w:t>
      </w:r>
    </w:p>
    <w:p>
      <w:pPr>
        <w:pStyle w:val="BodyText"/>
        <w:ind w:left="1310" w:right="0"/>
      </w:pPr>
      <w:r>
        <w:rPr/>
        <w:t>（b）</w:t>
      </w:r>
      <w:r>
        <w:rPr>
          <w:spacing w:val="-3"/>
        </w:rPr>
        <w:t>不歧視；</w:t>
      </w:r>
    </w:p>
    <w:p>
      <w:pPr>
        <w:pStyle w:val="BodyText"/>
        <w:spacing w:before="22"/>
        <w:ind w:left="1310" w:right="0"/>
      </w:pPr>
      <w:r>
        <w:rPr/>
        <w:t>（c）</w:t>
      </w:r>
      <w:r>
        <w:rPr>
          <w:spacing w:val="-1"/>
        </w:rPr>
        <w:t>充分有效參與及融合社會；</w:t>
      </w:r>
    </w:p>
    <w:p>
      <w:pPr>
        <w:pStyle w:val="BodyText"/>
        <w:spacing w:line="256" w:lineRule="auto" w:before="23"/>
        <w:ind w:left="1860" w:hanging="550"/>
      </w:pPr>
      <w:r>
        <w:rPr>
          <w:spacing w:val="-2"/>
        </w:rPr>
        <w:t>（d）尊重差異，接受身心障礙者是人之多元性之一部分與人類之一份子；</w:t>
      </w:r>
    </w:p>
    <w:p>
      <w:pPr>
        <w:pStyle w:val="BodyText"/>
        <w:spacing w:before="1"/>
        <w:ind w:left="1310" w:right="0"/>
      </w:pPr>
      <w:r>
        <w:rPr/>
        <w:t>（e）</w:t>
      </w:r>
      <w:r>
        <w:rPr>
          <w:spacing w:val="-2"/>
        </w:rPr>
        <w:t>機會均等；</w:t>
      </w:r>
    </w:p>
    <w:p>
      <w:pPr>
        <w:pStyle w:val="BodyText"/>
        <w:spacing w:before="23"/>
        <w:ind w:left="1310" w:right="0"/>
      </w:pPr>
      <w:r>
        <w:rPr/>
        <w:t>（f）</w:t>
      </w:r>
      <w:r>
        <w:rPr>
          <w:spacing w:val="-3"/>
        </w:rPr>
        <w:t>無障礙；</w:t>
      </w:r>
    </w:p>
    <w:p>
      <w:pPr>
        <w:pStyle w:val="BodyText"/>
        <w:spacing w:before="22"/>
        <w:ind w:left="1310" w:right="0"/>
      </w:pPr>
      <w:r>
        <w:rPr/>
        <w:t>（g）</w:t>
      </w:r>
      <w:r>
        <w:rPr>
          <w:spacing w:val="-2"/>
        </w:rPr>
        <w:t>男女平等；</w:t>
      </w:r>
    </w:p>
    <w:p>
      <w:pPr>
        <w:pStyle w:val="BodyText"/>
        <w:spacing w:line="256" w:lineRule="auto" w:before="22"/>
        <w:ind w:left="1860" w:hanging="550"/>
      </w:pPr>
      <w:r>
        <w:rPr>
          <w:spacing w:val="-2"/>
        </w:rPr>
        <w:t>（h）尊重身心障礙兒童逐漸發展之能力，並尊重身心障礙兒童保持其身分認同之權利。</w:t>
      </w:r>
    </w:p>
    <w:p>
      <w:pPr>
        <w:pStyle w:val="BodyText"/>
        <w:tabs>
          <w:tab w:pos="979" w:val="left" w:leader="none"/>
          <w:tab w:pos="1419" w:val="left" w:leader="none"/>
        </w:tabs>
        <w:ind w:left="320" w:right="0"/>
      </w:pPr>
      <w:r>
        <w:rPr/>
        <w:t>第 </w:t>
      </w:r>
      <w:r>
        <w:rPr>
          <w:spacing w:val="-10"/>
        </w:rPr>
        <w:t>4</w:t>
      </w:r>
      <w:r>
        <w:rPr/>
        <w:tab/>
      </w:r>
      <w:r>
        <w:rPr>
          <w:spacing w:val="-10"/>
        </w:rPr>
        <w:t>條</w:t>
      </w:r>
      <w:r>
        <w:rPr/>
        <w:tab/>
        <w:t>一般義</w:t>
      </w:r>
      <w:r>
        <w:rPr>
          <w:spacing w:val="-10"/>
        </w:rPr>
        <w:t>務</w:t>
      </w:r>
    </w:p>
    <w:p>
      <w:pPr>
        <w:pStyle w:val="BodyText"/>
        <w:spacing w:line="256" w:lineRule="auto" w:before="22"/>
        <w:ind w:hanging="220"/>
      </w:pPr>
      <w:r>
        <w:rPr>
          <w:spacing w:val="-2"/>
        </w:rPr>
        <w:t>1.締約國承諾確保並促進充分實現所有身心障礙者之所有人權</w:t>
      </w:r>
      <w:r>
        <w:rPr>
          <w:spacing w:val="-1"/>
        </w:rPr>
        <w:t>與基本自由，使其不受任何基於身心障礙之歧視。為此目的</w:t>
      </w:r>
    </w:p>
    <w:p>
      <w:pPr>
        <w:pStyle w:val="BodyText"/>
        <w:ind w:right="0"/>
      </w:pPr>
      <w:r>
        <w:rPr>
          <w:spacing w:val="-2"/>
        </w:rPr>
        <w:t>，締約國承諾：</w:t>
      </w:r>
    </w:p>
    <w:p>
      <w:pPr>
        <w:pStyle w:val="BodyText"/>
        <w:spacing w:line="256" w:lineRule="auto" w:before="22"/>
        <w:ind w:left="1860" w:hanging="550"/>
      </w:pPr>
      <w:r>
        <w:rPr>
          <w:spacing w:val="-2"/>
        </w:rPr>
        <w:t>（a）採取所有適當立法、行政及其他措施實施本公約確認之權</w:t>
      </w:r>
      <w:r>
        <w:rPr>
          <w:spacing w:val="-6"/>
        </w:rPr>
        <w:t>利；</w:t>
      </w:r>
    </w:p>
    <w:p>
      <w:pPr>
        <w:pStyle w:val="BodyText"/>
        <w:spacing w:line="256" w:lineRule="auto"/>
        <w:ind w:left="1860" w:hanging="550"/>
      </w:pPr>
      <w:r>
        <w:rPr>
          <w:spacing w:val="-2"/>
        </w:rPr>
        <w:t>（b）採取所有適當措施，包括立法，以修正或廢止構成歧視身心障礙者之現行法律、法規、習慣與實踐；</w:t>
      </w:r>
    </w:p>
    <w:p>
      <w:pPr>
        <w:pStyle w:val="BodyText"/>
        <w:ind w:left="1310" w:right="0"/>
      </w:pPr>
      <w:r>
        <w:rPr/>
        <w:t>（c）</w:t>
      </w:r>
      <w:r>
        <w:rPr>
          <w:spacing w:val="-1"/>
        </w:rPr>
        <w:t>於所有政策與方案中考慮到保障及促進身心障礙者之人權</w:t>
      </w:r>
    </w:p>
    <w:p>
      <w:pPr>
        <w:spacing w:before="22"/>
        <w:ind w:left="1860" w:right="0" w:firstLine="0"/>
        <w:jc w:val="left"/>
        <w:rPr>
          <w:sz w:val="22"/>
        </w:rPr>
      </w:pPr>
      <w:r>
        <w:rPr>
          <w:sz w:val="22"/>
        </w:rPr>
        <w:t>；</w:t>
      </w:r>
    </w:p>
    <w:p>
      <w:pPr>
        <w:pStyle w:val="BodyText"/>
        <w:spacing w:line="256" w:lineRule="auto" w:before="22"/>
        <w:ind w:left="1860" w:hanging="550"/>
      </w:pPr>
      <w:r>
        <w:rPr>
          <w:spacing w:val="-2"/>
        </w:rPr>
        <w:t>（d）不實施任何與本公約不符之行為或實踐，確保政府機關和機構之作為遵循本公約之規定；</w:t>
      </w:r>
    </w:p>
    <w:p>
      <w:pPr>
        <w:pStyle w:val="BodyText"/>
        <w:spacing w:line="256" w:lineRule="auto"/>
        <w:ind w:left="1860" w:hanging="550"/>
      </w:pPr>
      <w:r>
        <w:rPr>
          <w:spacing w:val="-2"/>
        </w:rPr>
        <w:t>（e）採取所有適當措施，消除任何個人、組織或私營企業基於身心障礙之歧視；</w:t>
      </w:r>
    </w:p>
    <w:p>
      <w:pPr>
        <w:pStyle w:val="BodyText"/>
        <w:spacing w:line="256" w:lineRule="auto" w:before="1"/>
        <w:ind w:left="1860" w:hanging="550"/>
      </w:pPr>
      <w:r>
        <w:rPr/>
        <w:t>（f）從事或促進研究及開發本公約第 2 條所定通用設計之貨</w:t>
      </w:r>
      <w:r>
        <w:rPr>
          <w:spacing w:val="-2"/>
        </w:rPr>
        <w:t>物、服務、設備及設施，以儘可能達到最低程度之調整及</w:t>
      </w:r>
      <w:r>
        <w:rPr>
          <w:spacing w:val="-2"/>
        </w:rPr>
        <w:t>最少費用，滿足身心障礙者之具體需要，促進該等貨物、</w:t>
      </w:r>
      <w:r>
        <w:rPr>
          <w:spacing w:val="-2"/>
        </w:rPr>
        <w:t>服務、設備及設施之提供與使用，並於發展標準及準則推</w:t>
      </w:r>
      <w:r>
        <w:rPr>
          <w:spacing w:val="-2"/>
        </w:rPr>
        <w:t>廣通用設計；</w:t>
      </w:r>
    </w:p>
    <w:p>
      <w:pPr>
        <w:pStyle w:val="BodyText"/>
        <w:spacing w:line="256" w:lineRule="auto" w:before="4"/>
        <w:ind w:left="1860" w:hanging="550"/>
      </w:pPr>
      <w:r>
        <w:rPr>
          <w:spacing w:val="-2"/>
        </w:rPr>
        <w:t>（g）從事或促進研究及開發適合身心障礙者之新技術，並促進</w:t>
      </w:r>
      <w:r>
        <w:rPr>
          <w:spacing w:val="-1"/>
        </w:rPr>
        <w:t>提供與使用該等新技術，包括資訊和傳播技術、行動輔具</w:t>
      </w:r>
    </w:p>
    <w:p>
      <w:pPr>
        <w:pStyle w:val="BodyText"/>
        <w:ind w:left="1860" w:right="0"/>
      </w:pPr>
      <w:r>
        <w:rPr>
          <w:spacing w:val="-1"/>
        </w:rPr>
        <w:t>、用品、輔助技術，優先考慮價格上可負擔之技術；</w:t>
      </w:r>
    </w:p>
    <w:p>
      <w:pPr>
        <w:pStyle w:val="BodyText"/>
        <w:spacing w:line="256" w:lineRule="auto" w:before="22"/>
        <w:ind w:left="1860" w:hanging="550"/>
        <w:jc w:val="both"/>
      </w:pPr>
      <w:r>
        <w:rPr>
          <w:spacing w:val="-2"/>
        </w:rPr>
        <w:t>（h）提供身心障礙者可近用之資訊，關於行動輔具、用品及輔助技術，包括新技術，並提供其他形式之協助、支持服務</w:t>
      </w:r>
      <w:r>
        <w:rPr>
          <w:spacing w:val="-4"/>
        </w:rPr>
        <w:t>與設施；</w:t>
      </w:r>
    </w:p>
    <w:p>
      <w:pPr>
        <w:pStyle w:val="BodyText"/>
        <w:spacing w:line="256" w:lineRule="auto" w:before="3"/>
        <w:ind w:left="1860" w:hanging="550"/>
        <w:jc w:val="both"/>
      </w:pPr>
      <w:r>
        <w:rPr>
          <w:spacing w:val="-2"/>
        </w:rPr>
        <w:t>（i）促進培訓協助身心障礙者之專業人員與工作人員，使其瞭解本公約確認之權利，以便更好地提供該等權利所保障之協助及服務。</w:t>
      </w:r>
    </w:p>
    <w:p>
      <w:pPr>
        <w:pStyle w:val="BodyText"/>
        <w:spacing w:line="256" w:lineRule="auto"/>
        <w:ind w:hanging="220"/>
      </w:pPr>
      <w:r>
        <w:rPr>
          <w:spacing w:val="-2"/>
        </w:rPr>
        <w:t>2.關於經濟、社會及文化權利，各締約國承諾儘量利用現有資</w:t>
      </w:r>
      <w:r>
        <w:rPr>
          <w:spacing w:val="-1"/>
        </w:rPr>
        <w:t>源並於必要時於國際合作架構內採取措施，以期逐步充分實</w:t>
      </w:r>
    </w:p>
    <w:p>
      <w:pPr>
        <w:spacing w:after="0" w:line="256" w:lineRule="auto"/>
        <w:sectPr>
          <w:pgSz w:w="11900" w:h="16840"/>
          <w:pgMar w:top="480" w:bottom="280" w:left="1680" w:right="1680"/>
        </w:sectPr>
      </w:pPr>
    </w:p>
    <w:p>
      <w:pPr>
        <w:pStyle w:val="BodyText"/>
        <w:spacing w:line="256" w:lineRule="auto" w:before="30"/>
      </w:pPr>
      <w:r>
        <w:rPr>
          <w:spacing w:val="-2"/>
        </w:rPr>
        <w:t>現該等權利，但不妨礙本公約中依國際法屬於立即適用之義</w:t>
      </w:r>
      <w:r>
        <w:rPr>
          <w:spacing w:val="-6"/>
        </w:rPr>
        <w:t>務。</w:t>
      </w:r>
    </w:p>
    <w:p>
      <w:pPr>
        <w:pStyle w:val="BodyText"/>
        <w:spacing w:line="256" w:lineRule="auto" w:before="1"/>
        <w:ind w:hanging="220"/>
        <w:jc w:val="both"/>
      </w:pPr>
      <w:r>
        <w:rPr>
          <w:spacing w:val="-2"/>
        </w:rPr>
        <w:t>3.為執行本公約以發展及實施立法及政策時，及其他關於身心障礙者議題之決策過程中，締約國應與代表身心障礙者之組織、身心障礙者，包括身心障礙兒童，密切協商，以使其積</w:t>
      </w:r>
      <w:r>
        <w:rPr>
          <w:spacing w:val="-4"/>
        </w:rPr>
        <w:t>極涉入。</w:t>
      </w:r>
    </w:p>
    <w:p>
      <w:pPr>
        <w:pStyle w:val="BodyText"/>
        <w:spacing w:line="256" w:lineRule="auto" w:before="4"/>
        <w:ind w:hanging="220"/>
        <w:jc w:val="both"/>
      </w:pPr>
      <w:r>
        <w:rPr>
          <w:spacing w:val="-2"/>
        </w:rPr>
        <w:t>4.本公約之規定不影響任何締約各國法律或對締約各國生效之國際法中任何更有利於實現身心障礙者權利之規定。對於依據法律、公約、法規或習慣而於本公約締約各國內獲得承認或存在之任何人權與基本自由，不得以本公約未予承認或未予充分確認該等權利或自由為藉口而加以限制或減損。</w:t>
      </w:r>
    </w:p>
    <w:p>
      <w:pPr>
        <w:pStyle w:val="BodyText"/>
        <w:spacing w:line="256" w:lineRule="auto" w:before="4"/>
        <w:ind w:hanging="220"/>
      </w:pPr>
      <w:r>
        <w:rPr>
          <w:spacing w:val="-2"/>
        </w:rPr>
        <w:t>5.本公約之規定應延伸適用於聯邦制國家各組成部分，無任何限制或例外。</w:t>
      </w:r>
    </w:p>
    <w:p>
      <w:pPr>
        <w:pStyle w:val="BodyText"/>
        <w:tabs>
          <w:tab w:pos="979" w:val="left" w:leader="none"/>
          <w:tab w:pos="1419" w:val="left" w:leader="none"/>
        </w:tabs>
        <w:spacing w:before="1"/>
        <w:ind w:left="320" w:right="0"/>
      </w:pPr>
      <w:r>
        <w:rPr/>
        <w:t>第 </w:t>
      </w:r>
      <w:r>
        <w:rPr>
          <w:spacing w:val="-10"/>
        </w:rPr>
        <w:t>5</w:t>
      </w:r>
      <w:r>
        <w:rPr/>
        <w:tab/>
      </w:r>
      <w:r>
        <w:rPr>
          <w:spacing w:val="-10"/>
        </w:rPr>
        <w:t>條</w:t>
      </w:r>
      <w:r>
        <w:rPr/>
        <w:tab/>
        <w:t>平等與不歧</w:t>
      </w:r>
      <w:r>
        <w:rPr>
          <w:spacing w:val="-10"/>
        </w:rPr>
        <w:t>視</w:t>
      </w:r>
    </w:p>
    <w:p>
      <w:pPr>
        <w:pStyle w:val="BodyText"/>
        <w:spacing w:line="256" w:lineRule="auto" w:before="23"/>
        <w:ind w:hanging="220"/>
      </w:pPr>
      <w:r>
        <w:rPr>
          <w:spacing w:val="-2"/>
        </w:rPr>
        <w:t>1.締約國確認，在法律之前，人人平等，有權不受任何歧視地享有法律給予之平等保障與平等受益。</w:t>
      </w:r>
    </w:p>
    <w:p>
      <w:pPr>
        <w:pStyle w:val="BodyText"/>
        <w:spacing w:line="256" w:lineRule="auto" w:before="1"/>
        <w:ind w:left="1420"/>
        <w:jc w:val="right"/>
      </w:pPr>
      <w:r>
        <w:rPr>
          <w:spacing w:val="-2"/>
        </w:rPr>
        <w:t>2.締約國應禁止所有基於身心障礙之歧視，保障身心障礙者獲得平等與有效之法律保護，使其不受基於任何原因之歧視。 </w:t>
      </w:r>
      <w:r>
        <w:rPr/>
        <w:t>3.</w:t>
      </w:r>
      <w:r>
        <w:rPr>
          <w:spacing w:val="-1"/>
        </w:rPr>
        <w:t>為促進平等與消除歧視，締約國應採取所有適當步驟，以確</w:t>
      </w:r>
    </w:p>
    <w:p>
      <w:pPr>
        <w:pStyle w:val="BodyText"/>
        <w:spacing w:line="256" w:lineRule="auto" w:before="3"/>
        <w:ind w:left="1420" w:firstLine="220"/>
      </w:pPr>
      <w:r>
        <w:rPr>
          <w:spacing w:val="-2"/>
        </w:rPr>
        <w:t>保提供合理之對待。</w:t>
      </w:r>
      <w:r>
        <w:rPr>
          <w:spacing w:val="80"/>
          <w:w w:val="150"/>
        </w:rPr>
        <w:t>               </w:t>
      </w:r>
      <w:r>
        <w:rPr>
          <w:spacing w:val="-2"/>
        </w:rPr>
        <w:t>4.為加速或實現身心障礙者事實上之平等而必須採取之具體措</w:t>
      </w:r>
    </w:p>
    <w:p>
      <w:pPr>
        <w:pStyle w:val="BodyText"/>
        <w:tabs>
          <w:tab w:pos="979" w:val="left" w:leader="none"/>
          <w:tab w:pos="1419" w:val="left" w:leader="none"/>
        </w:tabs>
        <w:spacing w:line="256" w:lineRule="auto" w:before="1"/>
        <w:ind w:left="320" w:right="3599" w:firstLine="1320"/>
      </w:pPr>
      <w:r>
        <w:rPr>
          <w:spacing w:val="-2"/>
        </w:rPr>
        <w:t>施，不得視為本公約所指之歧視</w:t>
      </w:r>
      <w:r>
        <w:rPr>
          <w:spacing w:val="-2"/>
        </w:rPr>
        <w:t>。</w:t>
      </w:r>
      <w:r>
        <w:rPr/>
        <w:t>第 6</w:t>
        <w:tab/>
      </w:r>
      <w:r>
        <w:rPr>
          <w:spacing w:val="-10"/>
        </w:rPr>
        <w:t>條</w:t>
      </w:r>
      <w:r>
        <w:rPr/>
        <w:tab/>
      </w:r>
      <w:r>
        <w:rPr>
          <w:spacing w:val="-2"/>
        </w:rPr>
        <w:t>身心障礙婦女</w:t>
      </w:r>
    </w:p>
    <w:p>
      <w:pPr>
        <w:pStyle w:val="BodyText"/>
        <w:spacing w:line="256" w:lineRule="auto"/>
        <w:ind w:hanging="220"/>
      </w:pPr>
      <w:r>
        <w:rPr>
          <w:spacing w:val="-2"/>
        </w:rPr>
        <w:t>1.締約國體認身心障礙婦女與女孩受到多重歧視，就此應採取措施，確保其充分與平等地享有所有人權及基本自由。</w:t>
      </w:r>
    </w:p>
    <w:p>
      <w:pPr>
        <w:pStyle w:val="BodyText"/>
        <w:spacing w:line="256" w:lineRule="auto" w:before="1"/>
        <w:ind w:hanging="220"/>
        <w:jc w:val="both"/>
      </w:pPr>
      <w:r>
        <w:rPr>
          <w:spacing w:val="-2"/>
        </w:rPr>
        <w:t>2.締約國應採取所有適當措施，確保婦女獲得充分發展，提高地位及賦權增能，其目的為保障婦女能行使及享有本公約所定之人權與基本自由。</w:t>
      </w:r>
    </w:p>
    <w:p>
      <w:pPr>
        <w:pStyle w:val="BodyText"/>
        <w:spacing w:before="3"/>
        <w:ind w:left="320" w:right="0"/>
        <w:jc w:val="both"/>
      </w:pPr>
      <w:r>
        <w:rPr/>
        <w:t>第 7</w:t>
      </w:r>
      <w:r>
        <w:rPr>
          <w:spacing w:val="55"/>
          <w:w w:val="150"/>
        </w:rPr>
        <w:t> </w:t>
      </w:r>
      <w:r>
        <w:rPr/>
        <w:t>條</w:t>
      </w:r>
      <w:r>
        <w:rPr>
          <w:spacing w:val="55"/>
          <w:w w:val="150"/>
        </w:rPr>
        <w:t> </w:t>
      </w:r>
      <w:r>
        <w:rPr>
          <w:spacing w:val="-2"/>
        </w:rPr>
        <w:t>身心障礙兒童</w:t>
      </w:r>
    </w:p>
    <w:p>
      <w:pPr>
        <w:pStyle w:val="BodyText"/>
        <w:spacing w:line="256" w:lineRule="auto" w:before="22"/>
        <w:ind w:hanging="220"/>
      </w:pPr>
      <w:r>
        <w:rPr>
          <w:spacing w:val="-2"/>
        </w:rPr>
        <w:t>1.締約國應採取所有必要措施，確保身心障礙兒童在與其他兒童平等基礎上，充分享有所有人權與基本自由。</w:t>
      </w:r>
    </w:p>
    <w:p>
      <w:pPr>
        <w:pStyle w:val="BodyText"/>
        <w:spacing w:line="256" w:lineRule="auto"/>
        <w:ind w:hanging="220"/>
      </w:pPr>
      <w:r>
        <w:rPr>
          <w:spacing w:val="-2"/>
        </w:rPr>
        <w:t>2.於所有關於身心障礙兒童之行動中，應以兒童最佳利益為首</w:t>
      </w:r>
      <w:r>
        <w:rPr>
          <w:spacing w:val="-4"/>
        </w:rPr>
        <w:t>要考量。</w:t>
      </w:r>
    </w:p>
    <w:p>
      <w:pPr>
        <w:pStyle w:val="BodyText"/>
        <w:spacing w:line="256" w:lineRule="auto" w:before="1"/>
        <w:ind w:hanging="220"/>
        <w:jc w:val="both"/>
      </w:pPr>
      <w:r>
        <w:rPr>
          <w:spacing w:val="-2"/>
        </w:rPr>
        <w:t>3.締約國應確保身心障礙兒童有權在與其他兒童平等基礎上，就所有影響本人之事項自由表達意見，並獲得適合其身心障礙狀況及年齡之協助措施以實現此項權利，身心障礙兒童之意見應按其年齡與成熟程度適當予以考量。</w:t>
      </w:r>
    </w:p>
    <w:p>
      <w:pPr>
        <w:pStyle w:val="BodyText"/>
        <w:spacing w:before="4"/>
        <w:ind w:left="320" w:right="0"/>
        <w:jc w:val="both"/>
      </w:pPr>
      <w:r>
        <w:rPr/>
        <w:t>第 8</w:t>
      </w:r>
      <w:r>
        <w:rPr>
          <w:spacing w:val="55"/>
          <w:w w:val="150"/>
        </w:rPr>
        <w:t> </w:t>
      </w:r>
      <w:r>
        <w:rPr/>
        <w:t>條</w:t>
      </w:r>
      <w:r>
        <w:rPr>
          <w:spacing w:val="55"/>
          <w:w w:val="150"/>
        </w:rPr>
        <w:t> </w:t>
      </w:r>
      <w:r>
        <w:rPr>
          <w:spacing w:val="-3"/>
        </w:rPr>
        <w:t>意識提升</w:t>
      </w:r>
    </w:p>
    <w:p>
      <w:pPr>
        <w:pStyle w:val="BodyText"/>
        <w:spacing w:before="22"/>
        <w:ind w:left="1420" w:right="0"/>
      </w:pPr>
      <w:r>
        <w:rPr/>
        <w:t>1.</w:t>
      </w:r>
      <w:r>
        <w:rPr>
          <w:spacing w:val="-1"/>
        </w:rPr>
        <w:t>締約國承諾採取立即有效與適當措施，以便：</w:t>
      </w:r>
    </w:p>
    <w:p>
      <w:pPr>
        <w:pStyle w:val="BodyText"/>
        <w:spacing w:line="256" w:lineRule="auto" w:before="22"/>
        <w:ind w:left="1860" w:hanging="550"/>
      </w:pPr>
      <w:r>
        <w:rPr>
          <w:spacing w:val="-2"/>
        </w:rPr>
        <w:t>（a）提高整個社會，包括家庭，對身心障礙者之認識，促進對身心障礙者權利與尊嚴之尊重；</w:t>
      </w:r>
    </w:p>
    <w:p>
      <w:pPr>
        <w:pStyle w:val="BodyText"/>
        <w:spacing w:line="256" w:lineRule="auto"/>
        <w:ind w:left="1860" w:hanging="550"/>
      </w:pPr>
      <w:r>
        <w:rPr>
          <w:spacing w:val="-2"/>
        </w:rPr>
        <w:t>（b）於生活各個方面對抗對身心障礙者之成見、偏見與有害作法，包括基於性別及年齡之成見、偏見及有害作法；</w:t>
      </w:r>
    </w:p>
    <w:p>
      <w:pPr>
        <w:pStyle w:val="BodyText"/>
        <w:spacing w:line="256" w:lineRule="auto"/>
        <w:ind w:left="1420" w:right="2939" w:hanging="110"/>
      </w:pPr>
      <w:r>
        <w:rPr>
          <w:spacing w:val="-2"/>
        </w:rPr>
        <w:t>（c）提高對身心障礙者能力與貢獻之認識。 2.為此目的採取之措施包括：</w:t>
      </w:r>
    </w:p>
    <w:p>
      <w:pPr>
        <w:pStyle w:val="BodyText"/>
        <w:spacing w:before="1"/>
        <w:ind w:left="1310" w:right="0"/>
      </w:pPr>
      <w:r>
        <w:rPr/>
        <w:t>（a）</w:t>
      </w:r>
      <w:r>
        <w:rPr>
          <w:spacing w:val="-1"/>
        </w:rPr>
        <w:t>發起與持續進行有效之宣傳活動，提高公眾認識，以便：</w:t>
      </w:r>
    </w:p>
    <w:p>
      <w:pPr>
        <w:pStyle w:val="BodyText"/>
        <w:spacing w:before="23"/>
        <w:ind w:left="1530" w:right="0"/>
      </w:pPr>
      <w:r>
        <w:rPr/>
        <w:t>（i）</w:t>
      </w:r>
      <w:r>
        <w:rPr>
          <w:spacing w:val="-1"/>
        </w:rPr>
        <w:t>培養接受身心障礙者權利之態度；</w:t>
      </w:r>
    </w:p>
    <w:p>
      <w:pPr>
        <w:pStyle w:val="BodyText"/>
        <w:spacing w:before="22"/>
        <w:ind w:left="1420" w:right="0"/>
      </w:pPr>
      <w:r>
        <w:rPr/>
        <w:t>（ii）</w:t>
      </w:r>
      <w:r>
        <w:rPr>
          <w:spacing w:val="-1"/>
        </w:rPr>
        <w:t>促進積極看待身心障礙者，提高社會對身心障礙者之瞭</w:t>
      </w:r>
    </w:p>
    <w:p>
      <w:pPr>
        <w:spacing w:after="0"/>
        <w:sectPr>
          <w:pgSz w:w="11900" w:h="16840"/>
          <w:pgMar w:top="480" w:bottom="280" w:left="1680" w:right="1680"/>
        </w:sectPr>
      </w:pPr>
    </w:p>
    <w:p>
      <w:pPr>
        <w:pStyle w:val="BodyText"/>
        <w:spacing w:before="30"/>
        <w:ind w:left="2080" w:right="0"/>
      </w:pPr>
      <w:r>
        <w:rPr>
          <w:spacing w:val="-5"/>
        </w:rPr>
        <w:t>解；</w:t>
      </w:r>
    </w:p>
    <w:p>
      <w:pPr>
        <w:pStyle w:val="BodyText"/>
        <w:spacing w:line="256" w:lineRule="auto" w:before="22"/>
        <w:ind w:left="2080" w:hanging="770"/>
      </w:pPr>
      <w:r>
        <w:rPr>
          <w:spacing w:val="-2"/>
        </w:rPr>
        <w:t>（iii）促進承認身心障礙者之技能、才華與能力以及其對職場與勞動市場之貢獻；</w:t>
      </w:r>
    </w:p>
    <w:p>
      <w:pPr>
        <w:pStyle w:val="BodyText"/>
        <w:spacing w:line="256" w:lineRule="auto"/>
        <w:ind w:left="1860" w:hanging="550"/>
      </w:pPr>
      <w:r>
        <w:rPr>
          <w:spacing w:val="-2"/>
        </w:rPr>
        <w:t>（b）於各級教育體系，包括學齡前教育，培養尊重身心障礙者權利之態度；</w:t>
      </w:r>
    </w:p>
    <w:p>
      <w:pPr>
        <w:pStyle w:val="BodyText"/>
        <w:spacing w:line="256" w:lineRule="auto" w:before="1"/>
        <w:ind w:left="1860" w:hanging="550"/>
      </w:pPr>
      <w:r>
        <w:rPr>
          <w:spacing w:val="-2"/>
        </w:rPr>
        <w:t>（c）鼓勵所有媒體機構以符合本公約宗旨之方式報導身心障礙</w:t>
      </w:r>
      <w:r>
        <w:rPr>
          <w:spacing w:val="-6"/>
        </w:rPr>
        <w:t>者；</w:t>
      </w:r>
    </w:p>
    <w:p>
      <w:pPr>
        <w:pStyle w:val="BodyText"/>
        <w:tabs>
          <w:tab w:pos="979" w:val="left" w:leader="none"/>
          <w:tab w:pos="1419" w:val="left" w:leader="none"/>
        </w:tabs>
        <w:spacing w:line="256" w:lineRule="auto"/>
        <w:ind w:left="320" w:right="2499" w:firstLine="990"/>
      </w:pPr>
      <w:r>
        <w:rPr>
          <w:spacing w:val="-2"/>
        </w:rPr>
        <w:t>（d）推行瞭解身心障礙者及其權利之培訓方案</w:t>
      </w:r>
      <w:r>
        <w:rPr>
          <w:spacing w:val="-2"/>
        </w:rPr>
        <w:t>。</w:t>
      </w:r>
      <w:r>
        <w:rPr/>
        <w:t>第 9</w:t>
        <w:tab/>
      </w:r>
      <w:r>
        <w:rPr>
          <w:spacing w:val="-10"/>
        </w:rPr>
        <w:t>條</w:t>
      </w:r>
      <w:r>
        <w:rPr/>
        <w:tab/>
      </w:r>
      <w:r>
        <w:rPr>
          <w:spacing w:val="-4"/>
        </w:rPr>
        <w:t>無障礙</w:t>
      </w:r>
    </w:p>
    <w:p>
      <w:pPr>
        <w:pStyle w:val="BodyText"/>
        <w:spacing w:line="256" w:lineRule="auto"/>
        <w:ind w:hanging="220"/>
        <w:jc w:val="both"/>
      </w:pPr>
      <w:r>
        <w:rPr>
          <w:spacing w:val="-2"/>
        </w:rPr>
        <w:t>1.為使身心障礙者能夠獨立生活及充分參與生活各個方面，締約國應採取適當措施，確保身心障礙者在與其他人平等基礎上，無障礙地進出物理環境，使用交通工具，利用資訊及通信，包括資訊與通信技術及系統，以及享有於都市與鄉村地區向公眾開放或提供之其他設施及服務。該等措施應包括查明及消除阻礙實現無障礙環境之因素，尤其應適用於：</w:t>
      </w:r>
    </w:p>
    <w:p>
      <w:pPr>
        <w:pStyle w:val="BodyText"/>
        <w:spacing w:line="256" w:lineRule="auto" w:before="4"/>
        <w:ind w:left="1860" w:hanging="550"/>
      </w:pPr>
      <w:r>
        <w:rPr>
          <w:spacing w:val="-2"/>
        </w:rPr>
        <w:t>（a）建築、道路、交通與其他室內外設施，包括學校、住宅、醫療設施及工作場所；</w:t>
      </w:r>
    </w:p>
    <w:p>
      <w:pPr>
        <w:pStyle w:val="BodyText"/>
        <w:spacing w:line="256" w:lineRule="auto"/>
        <w:ind w:left="1420" w:right="1619" w:hanging="110"/>
      </w:pPr>
      <w:r>
        <w:rPr>
          <w:spacing w:val="-2"/>
        </w:rPr>
        <w:t>（b）資訊、通信及其他服務，包括電子服務及緊急服務。 2.締約國亦應採取適當措施，以便：</w:t>
      </w:r>
    </w:p>
    <w:p>
      <w:pPr>
        <w:pStyle w:val="BodyText"/>
        <w:spacing w:line="256" w:lineRule="auto"/>
        <w:ind w:left="1860" w:hanging="550"/>
      </w:pPr>
      <w:r>
        <w:rPr>
          <w:spacing w:val="-2"/>
        </w:rPr>
        <w:t>（a）擬訂、發布並監測向公眾開放或提供之設施與服務為無障礙使用之最低標準及準則；</w:t>
      </w:r>
    </w:p>
    <w:p>
      <w:pPr>
        <w:pStyle w:val="BodyText"/>
        <w:spacing w:line="256" w:lineRule="auto" w:before="1"/>
        <w:ind w:left="1860" w:hanging="550"/>
      </w:pPr>
      <w:r>
        <w:rPr>
          <w:spacing w:val="-2"/>
        </w:rPr>
        <w:t>（b）確保私人單位向公眾開放或為公眾提供之設施與服務能考慮身心障礙者無障礙之所有面向；</w:t>
      </w:r>
    </w:p>
    <w:p>
      <w:pPr>
        <w:pStyle w:val="BodyText"/>
        <w:ind w:left="1310" w:right="0"/>
      </w:pPr>
      <w:r>
        <w:rPr/>
        <w:t>（c）</w:t>
      </w:r>
      <w:r>
        <w:rPr>
          <w:spacing w:val="-1"/>
        </w:rPr>
        <w:t>提供相關人員對於身心障礙者之無障礙議題培訓；</w:t>
      </w:r>
    </w:p>
    <w:p>
      <w:pPr>
        <w:pStyle w:val="BodyText"/>
        <w:spacing w:line="256" w:lineRule="auto" w:before="22"/>
        <w:ind w:left="1860" w:hanging="550"/>
      </w:pPr>
      <w:r>
        <w:rPr>
          <w:spacing w:val="-2"/>
        </w:rPr>
        <w:t>（d）於向公眾開放之建築與其他設施中提供點字標誌及易讀易懂之標誌；</w:t>
      </w:r>
    </w:p>
    <w:p>
      <w:pPr>
        <w:pStyle w:val="BodyText"/>
        <w:spacing w:line="256" w:lineRule="auto"/>
        <w:ind w:left="1860" w:hanging="550"/>
        <w:jc w:val="both"/>
      </w:pPr>
      <w:r>
        <w:rPr>
          <w:spacing w:val="-2"/>
        </w:rPr>
        <w:t>（e）提供各種形式之現場協助及中介，包括提供嚮導、報讀員及專業手語翻譯員，以利無障礙使用向公眾開放之建築與其他設施；</w:t>
      </w:r>
    </w:p>
    <w:p>
      <w:pPr>
        <w:pStyle w:val="BodyText"/>
        <w:spacing w:line="256" w:lineRule="auto"/>
        <w:ind w:left="1860" w:hanging="550"/>
      </w:pPr>
      <w:r>
        <w:rPr>
          <w:spacing w:val="-2"/>
        </w:rPr>
        <w:t>（f）促進其他適當形式之協助與支持，以確保身心障礙者獲得</w:t>
      </w:r>
      <w:r>
        <w:rPr>
          <w:spacing w:val="-4"/>
        </w:rPr>
        <w:t>資訊；</w:t>
      </w:r>
    </w:p>
    <w:p>
      <w:pPr>
        <w:pStyle w:val="BodyText"/>
        <w:spacing w:line="256" w:lineRule="auto"/>
        <w:ind w:left="1860" w:hanging="550"/>
      </w:pPr>
      <w:r>
        <w:rPr>
          <w:spacing w:val="-2"/>
        </w:rPr>
        <w:t>（g）促進身心障礙者有機會使用新資訊與通信技術及系統，包括網際網路；</w:t>
      </w:r>
    </w:p>
    <w:p>
      <w:pPr>
        <w:pStyle w:val="BodyText"/>
        <w:spacing w:line="256" w:lineRule="auto" w:before="1"/>
        <w:ind w:left="1860" w:hanging="550"/>
        <w:jc w:val="both"/>
      </w:pPr>
      <w:r>
        <w:rPr>
          <w:spacing w:val="-2"/>
        </w:rPr>
        <w:t>（h）促進於早期階段設計、開發、生產、推行無障礙資訊與通信技術及系統，以便能以最低成本使該等技術及系統無障</w:t>
      </w:r>
      <w:r>
        <w:rPr>
          <w:spacing w:val="-6"/>
        </w:rPr>
        <w:t>礙。</w:t>
      </w:r>
    </w:p>
    <w:p>
      <w:pPr>
        <w:pStyle w:val="BodyText"/>
        <w:spacing w:before="3"/>
        <w:ind w:left="320" w:right="0"/>
        <w:jc w:val="both"/>
      </w:pPr>
      <w:r>
        <w:rPr/>
        <w:t>第 10 條</w:t>
      </w:r>
      <w:r>
        <w:rPr>
          <w:spacing w:val="55"/>
          <w:w w:val="150"/>
        </w:rPr>
        <w:t> </w:t>
      </w:r>
      <w:r>
        <w:rPr>
          <w:spacing w:val="-4"/>
        </w:rPr>
        <w:t>生命權</w:t>
      </w:r>
    </w:p>
    <w:p>
      <w:pPr>
        <w:pStyle w:val="BodyText"/>
        <w:spacing w:line="256" w:lineRule="auto" w:before="22"/>
        <w:ind w:left="1420"/>
      </w:pPr>
      <w:r>
        <w:rPr>
          <w:spacing w:val="-2"/>
        </w:rPr>
        <w:t>締約國重申人人享有固有之生命權，並應採取所有必要措施，確保身心障礙者在與其他人平等基礎上確實享有生命權。</w:t>
      </w:r>
    </w:p>
    <w:p>
      <w:pPr>
        <w:pStyle w:val="BodyText"/>
        <w:tabs>
          <w:tab w:pos="1419" w:val="left" w:leader="none"/>
        </w:tabs>
        <w:ind w:left="320" w:right="0"/>
      </w:pPr>
      <w:r>
        <w:rPr/>
        <w:t>第 11 </w:t>
      </w:r>
      <w:r>
        <w:rPr>
          <w:spacing w:val="-10"/>
        </w:rPr>
        <w:t>條</w:t>
      </w:r>
      <w:r>
        <w:rPr/>
        <w:tab/>
        <w:t>危險情況與人道緊急情</w:t>
      </w:r>
      <w:r>
        <w:rPr>
          <w:spacing w:val="-10"/>
        </w:rPr>
        <w:t>況</w:t>
      </w:r>
    </w:p>
    <w:p>
      <w:pPr>
        <w:pStyle w:val="BodyText"/>
        <w:spacing w:line="256" w:lineRule="auto" w:before="22"/>
        <w:ind w:left="1420"/>
        <w:jc w:val="both"/>
      </w:pPr>
      <w:r>
        <w:rPr>
          <w:spacing w:val="-2"/>
        </w:rPr>
        <w:t>締約國應依其基於國際法上之義務，包括國際人道法與國際人權法規定，採取所有必要措施，確保於危險情況下，包括於發生武裝衝突、人道緊急情況及自然災害時，身心障礙者獲得保障及安全。</w:t>
      </w:r>
    </w:p>
    <w:p>
      <w:pPr>
        <w:pStyle w:val="BodyText"/>
        <w:spacing w:before="3"/>
        <w:ind w:left="320" w:right="0"/>
        <w:jc w:val="both"/>
      </w:pPr>
      <w:r>
        <w:rPr/>
        <w:t>第 12 條</w:t>
      </w:r>
      <w:r>
        <w:rPr>
          <w:spacing w:val="55"/>
          <w:w w:val="150"/>
        </w:rPr>
        <w:t> </w:t>
      </w:r>
      <w:r>
        <w:rPr>
          <w:spacing w:val="-1"/>
        </w:rPr>
        <w:t>在法律之前獲得平等承認</w:t>
      </w:r>
    </w:p>
    <w:p>
      <w:pPr>
        <w:pStyle w:val="BodyText"/>
        <w:spacing w:line="256" w:lineRule="auto" w:before="23"/>
        <w:ind w:hanging="220"/>
      </w:pPr>
      <w:r>
        <w:rPr>
          <w:spacing w:val="-2"/>
        </w:rPr>
        <w:t>1.締約國重申，身心障礙者於任何地方均獲承認享有人格之權</w:t>
      </w:r>
      <w:r>
        <w:rPr>
          <w:spacing w:val="-6"/>
        </w:rPr>
        <w:t>利。</w:t>
      </w:r>
    </w:p>
    <w:p>
      <w:pPr>
        <w:pStyle w:val="BodyText"/>
        <w:spacing w:before="1"/>
        <w:ind w:left="1420" w:right="0"/>
      </w:pPr>
      <w:r>
        <w:rPr/>
        <w:t>2.</w:t>
      </w:r>
      <w:r>
        <w:rPr>
          <w:spacing w:val="-1"/>
        </w:rPr>
        <w:t>締約國應確認身心障礙者於生活各方面享有與其他人平等之</w:t>
      </w:r>
    </w:p>
    <w:p>
      <w:pPr>
        <w:spacing w:after="0"/>
        <w:sectPr>
          <w:pgSz w:w="11900" w:h="16840"/>
          <w:pgMar w:top="480" w:bottom="280" w:left="1680" w:right="1680"/>
        </w:sect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
        <w:gridCol w:w="330"/>
        <w:gridCol w:w="330"/>
        <w:gridCol w:w="6155"/>
      </w:tblGrid>
      <w:tr>
        <w:trPr>
          <w:trHeight w:val="275" w:hRule="atLeast"/>
        </w:trPr>
        <w:tc>
          <w:tcPr>
            <w:tcW w:w="985" w:type="dxa"/>
            <w:gridSpan w:val="3"/>
            <w:vMerge w:val="restart"/>
          </w:tcPr>
          <w:p>
            <w:pPr>
              <w:pStyle w:val="TableParagraph"/>
              <w:rPr>
                <w:rFonts w:ascii="Times New Roman"/>
                <w:sz w:val="22"/>
              </w:rPr>
            </w:pPr>
          </w:p>
        </w:tc>
        <w:tc>
          <w:tcPr>
            <w:tcW w:w="6155" w:type="dxa"/>
          </w:tcPr>
          <w:p>
            <w:pPr>
              <w:pStyle w:val="TableParagraph"/>
              <w:spacing w:line="255" w:lineRule="exact"/>
              <w:ind w:left="385"/>
              <w:rPr>
                <w:sz w:val="22"/>
              </w:rPr>
            </w:pPr>
            <w:r>
              <w:rPr>
                <w:spacing w:val="-2"/>
                <w:sz w:val="22"/>
              </w:rPr>
              <w:t>權利能力。</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z w:val="22"/>
              </w:rPr>
              <w:t>3.</w:t>
            </w:r>
            <w:r>
              <w:rPr>
                <w:spacing w:val="-1"/>
                <w:sz w:val="22"/>
              </w:rPr>
              <w:t>締約國應採取適當措施，便利身心障礙者獲得其於行使權利</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left="385"/>
              <w:rPr>
                <w:sz w:val="22"/>
              </w:rPr>
            </w:pPr>
            <w:r>
              <w:rPr>
                <w:spacing w:val="-1"/>
                <w:sz w:val="22"/>
              </w:rPr>
              <w:t>能力時可能需要之協助。</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z w:val="22"/>
              </w:rPr>
              <w:t>4.</w:t>
            </w:r>
            <w:r>
              <w:rPr>
                <w:spacing w:val="-1"/>
                <w:sz w:val="22"/>
              </w:rPr>
              <w:t>締約國應確保，與行使權利能力有關之所有措施，均依照國</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際人權法提供適當與有效之防護，以防止濫用。該等防護應</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確保與行使權利能力有關之措施，尊重本人之權利、意願及</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選擇，無利益衝突及不當影響，適合本人情況，適用時間儘</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可能短，並定期由一個有資格、獨立、公正之機關或司法機</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關審查。提供之防護與影響個人權利及利益之措施於程度上</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left="385"/>
              <w:rPr>
                <w:sz w:val="22"/>
              </w:rPr>
            </w:pPr>
            <w:r>
              <w:rPr>
                <w:spacing w:val="-3"/>
                <w:sz w:val="22"/>
              </w:rPr>
              <w:t>應相當。</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z w:val="22"/>
              </w:rPr>
              <w:t>5.</w:t>
            </w:r>
            <w:r>
              <w:rPr>
                <w:spacing w:val="-1"/>
                <w:sz w:val="22"/>
              </w:rPr>
              <w:t>於符合本條規定之情況下，締約國應採取所有適當及有效措</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施，確保身心障礙者平等享有擁有或繼承財產之權利，掌管</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自己財務，有平等機會獲得銀行貸款、抵押貸款及其他形式</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right="49"/>
              <w:jc w:val="right"/>
              <w:rPr>
                <w:sz w:val="22"/>
              </w:rPr>
            </w:pPr>
            <w:r>
              <w:rPr>
                <w:spacing w:val="-1"/>
                <w:sz w:val="22"/>
              </w:rPr>
              <w:t>之金融信用貸款，並應確保身心障礙者之財產不被任意剝奪</w:t>
            </w:r>
          </w:p>
        </w:tc>
      </w:tr>
      <w:tr>
        <w:trPr>
          <w:trHeight w:val="330" w:hRule="atLeast"/>
        </w:trPr>
        <w:tc>
          <w:tcPr>
            <w:tcW w:w="985" w:type="dxa"/>
            <w:gridSpan w:val="3"/>
            <w:vMerge/>
            <w:tcBorders>
              <w:top w:val="nil"/>
            </w:tcBorders>
          </w:tcPr>
          <w:p>
            <w:pPr>
              <w:rPr>
                <w:sz w:val="2"/>
                <w:szCs w:val="2"/>
              </w:rPr>
            </w:pPr>
          </w:p>
        </w:tc>
        <w:tc>
          <w:tcPr>
            <w:tcW w:w="6155" w:type="dxa"/>
          </w:tcPr>
          <w:p>
            <w:pPr>
              <w:pStyle w:val="TableParagraph"/>
              <w:spacing w:line="299" w:lineRule="exact" w:before="11"/>
              <w:ind w:left="385"/>
              <w:rPr>
                <w:sz w:val="22"/>
              </w:rPr>
            </w:pPr>
            <w:r>
              <w:rPr>
                <w:sz w:val="22"/>
              </w:rPr>
              <w:t>。</w:t>
            </w:r>
          </w:p>
        </w:tc>
      </w:tr>
      <w:tr>
        <w:trPr>
          <w:trHeight w:val="330" w:hRule="atLeast"/>
        </w:trPr>
        <w:tc>
          <w:tcPr>
            <w:tcW w:w="325" w:type="dxa"/>
          </w:tcPr>
          <w:p>
            <w:pPr>
              <w:pStyle w:val="TableParagraph"/>
              <w:spacing w:line="299" w:lineRule="exact" w:before="11"/>
              <w:ind w:right="54"/>
              <w:jc w:val="right"/>
              <w:rPr>
                <w:sz w:val="22"/>
              </w:rPr>
            </w:pPr>
            <w:r>
              <w:rPr>
                <w:sz w:val="22"/>
              </w:rPr>
              <w:t>第</w:t>
            </w:r>
          </w:p>
        </w:tc>
        <w:tc>
          <w:tcPr>
            <w:tcW w:w="330" w:type="dxa"/>
          </w:tcPr>
          <w:p>
            <w:pPr>
              <w:pStyle w:val="TableParagraph"/>
              <w:spacing w:line="299" w:lineRule="exact" w:before="11"/>
              <w:ind w:left="40" w:right="40"/>
              <w:jc w:val="center"/>
              <w:rPr>
                <w:sz w:val="22"/>
              </w:rPr>
            </w:pPr>
            <w:r>
              <w:rPr>
                <w:spacing w:val="-5"/>
                <w:sz w:val="22"/>
              </w:rPr>
              <w:t>13</w:t>
            </w:r>
          </w:p>
        </w:tc>
        <w:tc>
          <w:tcPr>
            <w:tcW w:w="330" w:type="dxa"/>
          </w:tcPr>
          <w:p>
            <w:pPr>
              <w:pStyle w:val="TableParagraph"/>
              <w:spacing w:line="299" w:lineRule="exact" w:before="11"/>
              <w:ind w:left="55"/>
              <w:rPr>
                <w:sz w:val="22"/>
              </w:rPr>
            </w:pPr>
            <w:r>
              <w:rPr>
                <w:sz w:val="22"/>
              </w:rPr>
              <w:t>條</w:t>
            </w:r>
          </w:p>
        </w:tc>
        <w:tc>
          <w:tcPr>
            <w:tcW w:w="6155" w:type="dxa"/>
          </w:tcPr>
          <w:p>
            <w:pPr>
              <w:pStyle w:val="TableParagraph"/>
              <w:spacing w:line="299" w:lineRule="exact" w:before="11"/>
              <w:ind w:left="165"/>
              <w:rPr>
                <w:sz w:val="22"/>
              </w:rPr>
            </w:pPr>
            <w:r>
              <w:rPr>
                <w:spacing w:val="-2"/>
                <w:sz w:val="22"/>
              </w:rPr>
              <w:t>獲得司法保護</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1.</w:t>
            </w:r>
            <w:r>
              <w:rPr>
                <w:spacing w:val="-1"/>
                <w:sz w:val="22"/>
              </w:rPr>
              <w:t>締約國應確保身心障礙者在與其他人平等基礎上有效獲得司</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法保護，包括透過提供程序與適齡對待措施，以增進其於所</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有法律訴訟程序中，包括於調查及其他初步階段中，有效發</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385"/>
              <w:rPr>
                <w:sz w:val="22"/>
              </w:rPr>
            </w:pPr>
            <w:r>
              <w:rPr>
                <w:spacing w:val="-1"/>
                <w:sz w:val="22"/>
              </w:rPr>
              <w:t>揮其作為直接和間接參與之一方，包括作為證人。</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2.</w:t>
            </w:r>
            <w:r>
              <w:rPr>
                <w:spacing w:val="-1"/>
                <w:sz w:val="22"/>
              </w:rPr>
              <w:t>為了協助確保身心障礙者有效獲得司法保護，締約國應促進</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對司法領域工作人員，包括警察與監所人員進行適當之培訓</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385"/>
              <w:rPr>
                <w:sz w:val="22"/>
              </w:rPr>
            </w:pPr>
            <w:r>
              <w:rPr>
                <w:sz w:val="22"/>
              </w:rPr>
              <w:t>。</w:t>
            </w:r>
          </w:p>
        </w:tc>
      </w:tr>
      <w:tr>
        <w:trPr>
          <w:trHeight w:val="330" w:hRule="atLeast"/>
        </w:trPr>
        <w:tc>
          <w:tcPr>
            <w:tcW w:w="325" w:type="dxa"/>
          </w:tcPr>
          <w:p>
            <w:pPr>
              <w:pStyle w:val="TableParagraph"/>
              <w:spacing w:line="299" w:lineRule="exact" w:before="11"/>
              <w:ind w:right="54"/>
              <w:jc w:val="right"/>
              <w:rPr>
                <w:sz w:val="22"/>
              </w:rPr>
            </w:pPr>
            <w:r>
              <w:rPr>
                <w:sz w:val="22"/>
              </w:rPr>
              <w:t>第</w:t>
            </w:r>
          </w:p>
        </w:tc>
        <w:tc>
          <w:tcPr>
            <w:tcW w:w="330" w:type="dxa"/>
          </w:tcPr>
          <w:p>
            <w:pPr>
              <w:pStyle w:val="TableParagraph"/>
              <w:spacing w:line="299" w:lineRule="exact" w:before="11"/>
              <w:ind w:left="40" w:right="40"/>
              <w:jc w:val="center"/>
              <w:rPr>
                <w:sz w:val="22"/>
              </w:rPr>
            </w:pPr>
            <w:r>
              <w:rPr>
                <w:spacing w:val="-5"/>
                <w:sz w:val="22"/>
              </w:rPr>
              <w:t>14</w:t>
            </w:r>
          </w:p>
        </w:tc>
        <w:tc>
          <w:tcPr>
            <w:tcW w:w="330" w:type="dxa"/>
          </w:tcPr>
          <w:p>
            <w:pPr>
              <w:pStyle w:val="TableParagraph"/>
              <w:spacing w:line="299" w:lineRule="exact" w:before="11"/>
              <w:ind w:left="55"/>
              <w:rPr>
                <w:sz w:val="22"/>
              </w:rPr>
            </w:pPr>
            <w:r>
              <w:rPr>
                <w:sz w:val="22"/>
              </w:rPr>
              <w:t>條</w:t>
            </w:r>
          </w:p>
        </w:tc>
        <w:tc>
          <w:tcPr>
            <w:tcW w:w="6155" w:type="dxa"/>
          </w:tcPr>
          <w:p>
            <w:pPr>
              <w:pStyle w:val="TableParagraph"/>
              <w:spacing w:line="299" w:lineRule="exact" w:before="11"/>
              <w:ind w:left="165"/>
              <w:rPr>
                <w:sz w:val="22"/>
              </w:rPr>
            </w:pPr>
            <w:r>
              <w:rPr>
                <w:spacing w:val="-2"/>
                <w:sz w:val="22"/>
              </w:rPr>
              <w:t>人身自由與安全</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165"/>
              <w:rPr>
                <w:sz w:val="22"/>
              </w:rPr>
            </w:pPr>
            <w:r>
              <w:rPr>
                <w:sz w:val="22"/>
              </w:rPr>
              <w:t>1.</w:t>
            </w:r>
            <w:r>
              <w:rPr>
                <w:spacing w:val="-1"/>
                <w:sz w:val="22"/>
              </w:rPr>
              <w:t>締約國應確保身心障礙者在與其他人平等基礎上：</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55"/>
              <w:rPr>
                <w:sz w:val="22"/>
              </w:rPr>
            </w:pPr>
            <w:r>
              <w:rPr>
                <w:sz w:val="22"/>
              </w:rPr>
              <w:t>（a）</w:t>
            </w:r>
            <w:r>
              <w:rPr>
                <w:spacing w:val="-1"/>
                <w:sz w:val="22"/>
              </w:rPr>
              <w:t>享有人身自由及安全之權利；</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55"/>
              <w:rPr>
                <w:sz w:val="22"/>
              </w:rPr>
            </w:pPr>
            <w:r>
              <w:rPr>
                <w:sz w:val="22"/>
              </w:rPr>
              <w:t>（b）</w:t>
            </w:r>
            <w:r>
              <w:rPr>
                <w:spacing w:val="-1"/>
                <w:sz w:val="22"/>
              </w:rPr>
              <w:t>不被非法或任意剝奪自由，任何對自由之剝奪均須符合法</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律規定，且於任何情況下均不得以身心障礙作為剝奪自由</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605"/>
              <w:rPr>
                <w:sz w:val="22"/>
              </w:rPr>
            </w:pPr>
            <w:r>
              <w:rPr>
                <w:spacing w:val="-3"/>
                <w:sz w:val="22"/>
              </w:rPr>
              <w:t>之理由。</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2.</w:t>
            </w:r>
            <w:r>
              <w:rPr>
                <w:spacing w:val="-1"/>
                <w:sz w:val="22"/>
              </w:rPr>
              <w:t>締約國應確保，於任何過程中被剝奪自由之身心障礙者，在</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與其他人平等基礎上，有權獲得國際人權法規定之保障，並</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應享有符合本公約宗旨及原則之待遇，包括提供合理之對待</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385"/>
              <w:rPr>
                <w:sz w:val="22"/>
              </w:rPr>
            </w:pPr>
            <w:r>
              <w:rPr>
                <w:sz w:val="22"/>
              </w:rPr>
              <w:t>。</w:t>
            </w:r>
          </w:p>
        </w:tc>
      </w:tr>
      <w:tr>
        <w:trPr>
          <w:trHeight w:val="330" w:hRule="atLeast"/>
        </w:trPr>
        <w:tc>
          <w:tcPr>
            <w:tcW w:w="325" w:type="dxa"/>
          </w:tcPr>
          <w:p>
            <w:pPr>
              <w:pStyle w:val="TableParagraph"/>
              <w:spacing w:line="299" w:lineRule="exact" w:before="11"/>
              <w:ind w:right="54"/>
              <w:jc w:val="right"/>
              <w:rPr>
                <w:sz w:val="22"/>
              </w:rPr>
            </w:pPr>
            <w:r>
              <w:rPr>
                <w:sz w:val="22"/>
              </w:rPr>
              <w:t>第</w:t>
            </w:r>
          </w:p>
        </w:tc>
        <w:tc>
          <w:tcPr>
            <w:tcW w:w="330" w:type="dxa"/>
          </w:tcPr>
          <w:p>
            <w:pPr>
              <w:pStyle w:val="TableParagraph"/>
              <w:spacing w:line="299" w:lineRule="exact" w:before="11"/>
              <w:ind w:left="40" w:right="40"/>
              <w:jc w:val="center"/>
              <w:rPr>
                <w:sz w:val="22"/>
              </w:rPr>
            </w:pPr>
            <w:r>
              <w:rPr>
                <w:spacing w:val="-5"/>
                <w:sz w:val="22"/>
              </w:rPr>
              <w:t>15</w:t>
            </w:r>
          </w:p>
        </w:tc>
        <w:tc>
          <w:tcPr>
            <w:tcW w:w="330" w:type="dxa"/>
          </w:tcPr>
          <w:p>
            <w:pPr>
              <w:pStyle w:val="TableParagraph"/>
              <w:spacing w:line="299" w:lineRule="exact" w:before="11"/>
              <w:ind w:left="55"/>
              <w:rPr>
                <w:sz w:val="22"/>
              </w:rPr>
            </w:pPr>
            <w:r>
              <w:rPr>
                <w:sz w:val="22"/>
              </w:rPr>
              <w:t>條</w:t>
            </w:r>
          </w:p>
        </w:tc>
        <w:tc>
          <w:tcPr>
            <w:tcW w:w="6155" w:type="dxa"/>
          </w:tcPr>
          <w:p>
            <w:pPr>
              <w:pStyle w:val="TableParagraph"/>
              <w:spacing w:line="299" w:lineRule="exact" w:before="11"/>
              <w:ind w:left="165"/>
              <w:rPr>
                <w:sz w:val="22"/>
              </w:rPr>
            </w:pPr>
            <w:r>
              <w:rPr>
                <w:spacing w:val="-1"/>
                <w:sz w:val="22"/>
              </w:rPr>
              <w:t>免於酷刑或殘忍、不人道或有辱人格之待遇或處罰</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1.</w:t>
            </w:r>
            <w:r>
              <w:rPr>
                <w:spacing w:val="-1"/>
                <w:sz w:val="22"/>
              </w:rPr>
              <w:t>不得對任何人實施酷刑或殘忍、不人道或有辱人格之待遇或</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處罰。特別是不得於未經本人自願同意下，對任何人進行醫</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385"/>
              <w:rPr>
                <w:sz w:val="22"/>
              </w:rPr>
            </w:pPr>
            <w:r>
              <w:rPr>
                <w:spacing w:val="-2"/>
                <w:sz w:val="22"/>
              </w:rPr>
              <w:t>學或科學試驗。</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2.</w:t>
            </w:r>
            <w:r>
              <w:rPr>
                <w:spacing w:val="-1"/>
                <w:sz w:val="22"/>
              </w:rPr>
              <w:t>締約國應採取所有有效之立法、行政、司法或其他措施，在</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與其他人平等基礎上，防止身心障礙者遭受酷刑或殘忍、不</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385"/>
              <w:rPr>
                <w:sz w:val="22"/>
              </w:rPr>
            </w:pPr>
            <w:r>
              <w:rPr>
                <w:spacing w:val="-1"/>
                <w:sz w:val="22"/>
              </w:rPr>
              <w:t>人道或有辱人格之待遇或處罰。</w:t>
            </w:r>
          </w:p>
        </w:tc>
      </w:tr>
      <w:tr>
        <w:trPr>
          <w:trHeight w:val="330" w:hRule="atLeast"/>
        </w:trPr>
        <w:tc>
          <w:tcPr>
            <w:tcW w:w="325" w:type="dxa"/>
          </w:tcPr>
          <w:p>
            <w:pPr>
              <w:pStyle w:val="TableParagraph"/>
              <w:spacing w:line="299" w:lineRule="exact" w:before="11"/>
              <w:ind w:right="54"/>
              <w:jc w:val="right"/>
              <w:rPr>
                <w:sz w:val="22"/>
              </w:rPr>
            </w:pPr>
            <w:r>
              <w:rPr>
                <w:sz w:val="22"/>
              </w:rPr>
              <w:t>第</w:t>
            </w:r>
          </w:p>
        </w:tc>
        <w:tc>
          <w:tcPr>
            <w:tcW w:w="330" w:type="dxa"/>
          </w:tcPr>
          <w:p>
            <w:pPr>
              <w:pStyle w:val="TableParagraph"/>
              <w:spacing w:line="299" w:lineRule="exact" w:before="11"/>
              <w:ind w:left="40" w:right="40"/>
              <w:jc w:val="center"/>
              <w:rPr>
                <w:sz w:val="22"/>
              </w:rPr>
            </w:pPr>
            <w:r>
              <w:rPr>
                <w:spacing w:val="-5"/>
                <w:sz w:val="22"/>
              </w:rPr>
              <w:t>16</w:t>
            </w:r>
          </w:p>
        </w:tc>
        <w:tc>
          <w:tcPr>
            <w:tcW w:w="330" w:type="dxa"/>
          </w:tcPr>
          <w:p>
            <w:pPr>
              <w:pStyle w:val="TableParagraph"/>
              <w:spacing w:line="299" w:lineRule="exact" w:before="11"/>
              <w:ind w:left="55"/>
              <w:rPr>
                <w:sz w:val="22"/>
              </w:rPr>
            </w:pPr>
            <w:r>
              <w:rPr>
                <w:sz w:val="22"/>
              </w:rPr>
              <w:t>條</w:t>
            </w:r>
          </w:p>
        </w:tc>
        <w:tc>
          <w:tcPr>
            <w:tcW w:w="6155" w:type="dxa"/>
          </w:tcPr>
          <w:p>
            <w:pPr>
              <w:pStyle w:val="TableParagraph"/>
              <w:spacing w:line="299" w:lineRule="exact" w:before="11"/>
              <w:ind w:left="165"/>
              <w:rPr>
                <w:sz w:val="22"/>
              </w:rPr>
            </w:pPr>
            <w:r>
              <w:rPr>
                <w:spacing w:val="-1"/>
                <w:sz w:val="22"/>
              </w:rPr>
              <w:t>免於剝削、暴力與虐待</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1.</w:t>
            </w:r>
            <w:r>
              <w:rPr>
                <w:spacing w:val="-1"/>
                <w:sz w:val="22"/>
              </w:rPr>
              <w:t>締約國應採取所有適當之立法、行政、社會、教育與其他措</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施，保障身心障礙者於家庭內外免遭所有形式之剝削、暴力</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left="385"/>
              <w:rPr>
                <w:sz w:val="22"/>
              </w:rPr>
            </w:pPr>
            <w:r>
              <w:rPr>
                <w:spacing w:val="-1"/>
                <w:sz w:val="22"/>
              </w:rPr>
              <w:t>及虐待，包括基於性別之剝削、暴力及虐待。</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z w:val="22"/>
              </w:rPr>
              <w:t>2.</w:t>
            </w:r>
            <w:r>
              <w:rPr>
                <w:spacing w:val="-1"/>
                <w:sz w:val="22"/>
              </w:rPr>
              <w:t>締約國尚應採取所有適當措施防止所有形式之剝削、暴力及</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虐待，其中包括，確保向身心障礙者與其家屬及照顧者提供</w:t>
            </w:r>
          </w:p>
        </w:tc>
      </w:tr>
      <w:tr>
        <w:trPr>
          <w:trHeight w:val="330" w:hRule="atLeast"/>
        </w:trPr>
        <w:tc>
          <w:tcPr>
            <w:tcW w:w="325" w:type="dxa"/>
          </w:tcPr>
          <w:p>
            <w:pPr>
              <w:pStyle w:val="TableParagraph"/>
              <w:rPr>
                <w:rFonts w:ascii="Times New Roman"/>
                <w:sz w:val="22"/>
              </w:rPr>
            </w:pPr>
          </w:p>
        </w:tc>
        <w:tc>
          <w:tcPr>
            <w:tcW w:w="330" w:type="dxa"/>
          </w:tcPr>
          <w:p>
            <w:pPr>
              <w:pStyle w:val="TableParagraph"/>
              <w:rPr>
                <w:rFonts w:ascii="Times New Roman"/>
                <w:sz w:val="22"/>
              </w:rPr>
            </w:pPr>
          </w:p>
        </w:tc>
        <w:tc>
          <w:tcPr>
            <w:tcW w:w="330" w:type="dxa"/>
          </w:tcPr>
          <w:p>
            <w:pPr>
              <w:pStyle w:val="TableParagraph"/>
              <w:rPr>
                <w:rFonts w:ascii="Times New Roman"/>
                <w:sz w:val="22"/>
              </w:rPr>
            </w:pPr>
          </w:p>
        </w:tc>
        <w:tc>
          <w:tcPr>
            <w:tcW w:w="6155" w:type="dxa"/>
          </w:tcPr>
          <w:p>
            <w:pPr>
              <w:pStyle w:val="TableParagraph"/>
              <w:spacing w:line="299" w:lineRule="exact" w:before="11"/>
              <w:ind w:right="49"/>
              <w:jc w:val="right"/>
              <w:rPr>
                <w:sz w:val="22"/>
              </w:rPr>
            </w:pPr>
            <w:r>
              <w:rPr>
                <w:spacing w:val="-1"/>
                <w:sz w:val="22"/>
              </w:rPr>
              <w:t>具性別及年齡敏感度之適當協助與支持，包括透過提供資訊</w:t>
            </w:r>
          </w:p>
        </w:tc>
      </w:tr>
      <w:tr>
        <w:trPr>
          <w:trHeight w:val="275" w:hRule="atLeast"/>
        </w:trPr>
        <w:tc>
          <w:tcPr>
            <w:tcW w:w="325" w:type="dxa"/>
          </w:tcPr>
          <w:p>
            <w:pPr>
              <w:pStyle w:val="TableParagraph"/>
              <w:rPr>
                <w:rFonts w:ascii="Times New Roman"/>
                <w:sz w:val="20"/>
              </w:rPr>
            </w:pPr>
          </w:p>
        </w:tc>
        <w:tc>
          <w:tcPr>
            <w:tcW w:w="330" w:type="dxa"/>
          </w:tcPr>
          <w:p>
            <w:pPr>
              <w:pStyle w:val="TableParagraph"/>
              <w:rPr>
                <w:rFonts w:ascii="Times New Roman"/>
                <w:sz w:val="20"/>
              </w:rPr>
            </w:pPr>
          </w:p>
        </w:tc>
        <w:tc>
          <w:tcPr>
            <w:tcW w:w="330" w:type="dxa"/>
          </w:tcPr>
          <w:p>
            <w:pPr>
              <w:pStyle w:val="TableParagraph"/>
              <w:rPr>
                <w:rFonts w:ascii="Times New Roman"/>
                <w:sz w:val="20"/>
              </w:rPr>
            </w:pPr>
          </w:p>
        </w:tc>
        <w:tc>
          <w:tcPr>
            <w:tcW w:w="6155" w:type="dxa"/>
          </w:tcPr>
          <w:p>
            <w:pPr>
              <w:pStyle w:val="TableParagraph"/>
              <w:spacing w:line="244" w:lineRule="exact" w:before="11"/>
              <w:ind w:right="49"/>
              <w:jc w:val="right"/>
              <w:rPr>
                <w:sz w:val="22"/>
              </w:rPr>
            </w:pPr>
            <w:r>
              <w:rPr>
                <w:spacing w:val="-1"/>
                <w:sz w:val="22"/>
              </w:rPr>
              <w:t>及教育，說明如何避免、識別及報告剝削、暴力及虐待事件</w:t>
            </w:r>
          </w:p>
        </w:tc>
      </w:tr>
    </w:tbl>
    <w:p>
      <w:pPr>
        <w:spacing w:after="0" w:line="244" w:lineRule="exact"/>
        <w:jc w:val="right"/>
        <w:rPr>
          <w:sz w:val="22"/>
        </w:rPr>
        <w:sectPr>
          <w:pgSz w:w="11900" w:h="16840"/>
          <w:pgMar w:top="540" w:bottom="280" w:left="1680" w:right="1680"/>
        </w:sectPr>
      </w:pPr>
    </w:p>
    <w:p>
      <w:pPr>
        <w:pStyle w:val="BodyText"/>
        <w:spacing w:before="30"/>
        <w:ind w:right="0"/>
      </w:pPr>
      <w:r>
        <w:rPr>
          <w:spacing w:val="-1"/>
        </w:rPr>
        <w:t>。締約國應確保保障服務具年齡、性別及身心障礙之敏感度</w:t>
      </w:r>
    </w:p>
    <w:p>
      <w:pPr>
        <w:pStyle w:val="BodyText"/>
        <w:spacing w:line="256" w:lineRule="auto" w:before="22"/>
        <w:ind w:left="1420" w:firstLine="220"/>
      </w:pPr>
      <w:r>
        <w:rPr>
          <w:spacing w:val="-10"/>
        </w:rPr>
        <w:t>。</w:t>
      </w:r>
      <w:r>
        <w:rPr>
          <w:spacing w:val="80"/>
          <w:w w:val="150"/>
        </w:rPr>
        <w:t>                      </w:t>
      </w:r>
      <w:r>
        <w:rPr/>
        <w:t>3.</w:t>
      </w:r>
      <w:r>
        <w:rPr>
          <w:spacing w:val="-1"/>
        </w:rPr>
        <w:t>為了防止發生任何形式之剝削、暴力及虐待，締約國應確保</w:t>
      </w:r>
    </w:p>
    <w:p>
      <w:pPr>
        <w:pStyle w:val="BodyText"/>
        <w:spacing w:line="256" w:lineRule="auto"/>
      </w:pPr>
      <w:r>
        <w:rPr>
          <w:spacing w:val="-2"/>
        </w:rPr>
        <w:t>所有用於為身心障礙者服務之設施與方案受到獨立機關之有</w:t>
      </w:r>
      <w:r>
        <w:rPr>
          <w:spacing w:val="-4"/>
        </w:rPr>
        <w:t>效監測。</w:t>
      </w:r>
    </w:p>
    <w:p>
      <w:pPr>
        <w:pStyle w:val="BodyText"/>
        <w:spacing w:line="256" w:lineRule="auto" w:before="1"/>
        <w:ind w:hanging="220"/>
      </w:pPr>
      <w:r>
        <w:rPr>
          <w:spacing w:val="-2"/>
        </w:rPr>
        <w:t>4.身心障礙者受到任何形式之剝削、暴力或虐待時，締約國應</w:t>
      </w:r>
      <w:r>
        <w:rPr>
          <w:spacing w:val="-1"/>
        </w:rPr>
        <w:t>採取所有適當措施，包括提供保護服務，促進被害人之身體</w:t>
      </w:r>
    </w:p>
    <w:p>
      <w:pPr>
        <w:pStyle w:val="BodyText"/>
        <w:spacing w:line="256" w:lineRule="auto"/>
        <w:jc w:val="both"/>
      </w:pPr>
      <w:r>
        <w:rPr>
          <w:spacing w:val="-2"/>
        </w:rPr>
        <w:t>、認知功能與心理之復原、復健及重返社會。上述復原措施與重返社會措施應於有利於本人之健康、福祉、自尊、尊嚴及自主之環境中進行，並應斟酌因性別及年齡而異之具體需</w:t>
      </w:r>
      <w:r>
        <w:rPr>
          <w:spacing w:val="-6"/>
        </w:rPr>
        <w:t>要。</w:t>
      </w:r>
    </w:p>
    <w:p>
      <w:pPr>
        <w:pStyle w:val="BodyText"/>
        <w:spacing w:line="256" w:lineRule="auto" w:before="3"/>
        <w:ind w:hanging="220"/>
        <w:jc w:val="both"/>
      </w:pPr>
      <w:r>
        <w:rPr>
          <w:spacing w:val="-2"/>
        </w:rPr>
        <w:t>5.締約國應制定有效之立法與政策，包括聚焦於婦女及兒童之立法及政策，確保對身心障礙者之剝削、暴力及虐待事件獲得確認、調查，並於適當情況予以起訴。</w:t>
      </w:r>
    </w:p>
    <w:p>
      <w:pPr>
        <w:pStyle w:val="BodyText"/>
        <w:spacing w:before="3"/>
        <w:ind w:left="320" w:right="0"/>
        <w:jc w:val="both"/>
      </w:pPr>
      <w:r>
        <w:rPr/>
        <w:t>第 17 條</w:t>
      </w:r>
      <w:r>
        <w:rPr>
          <w:spacing w:val="55"/>
          <w:w w:val="150"/>
        </w:rPr>
        <w:t> </w:t>
      </w:r>
      <w:r>
        <w:rPr>
          <w:spacing w:val="-2"/>
        </w:rPr>
        <w:t>保障人身完整性</w:t>
      </w:r>
    </w:p>
    <w:p>
      <w:pPr>
        <w:pStyle w:val="BodyText"/>
        <w:spacing w:before="22"/>
        <w:ind w:left="1420" w:right="0"/>
      </w:pPr>
      <w:r>
        <w:rPr>
          <w:spacing w:val="-1"/>
        </w:rPr>
        <w:t>身心障礙者有權在與其他人平等基礎上獲得身心完整性之尊重</w:t>
      </w:r>
    </w:p>
    <w:p>
      <w:pPr>
        <w:spacing w:before="22"/>
        <w:ind w:left="1420" w:right="0" w:firstLine="0"/>
        <w:jc w:val="left"/>
        <w:rPr>
          <w:sz w:val="22"/>
        </w:rPr>
      </w:pPr>
      <w:r>
        <w:rPr>
          <w:sz w:val="22"/>
        </w:rPr>
        <w:t>。</w:t>
      </w:r>
    </w:p>
    <w:p>
      <w:pPr>
        <w:pStyle w:val="BodyText"/>
        <w:tabs>
          <w:tab w:pos="1419" w:val="left" w:leader="none"/>
        </w:tabs>
        <w:spacing w:before="23"/>
        <w:ind w:left="320" w:right="0"/>
      </w:pPr>
      <w:r>
        <w:rPr/>
        <w:t>第 18 </w:t>
      </w:r>
      <w:r>
        <w:rPr>
          <w:spacing w:val="-10"/>
        </w:rPr>
        <w:t>條</w:t>
      </w:r>
      <w:r>
        <w:rPr/>
        <w:tab/>
        <w:t>遷徙自由與國</w:t>
      </w:r>
      <w:r>
        <w:rPr>
          <w:spacing w:val="-10"/>
        </w:rPr>
        <w:t>籍</w:t>
      </w:r>
    </w:p>
    <w:p>
      <w:pPr>
        <w:pStyle w:val="BodyText"/>
        <w:spacing w:line="256" w:lineRule="auto" w:before="22"/>
        <w:ind w:hanging="220"/>
      </w:pPr>
      <w:r>
        <w:rPr>
          <w:spacing w:val="-2"/>
        </w:rPr>
        <w:t>1.締約國應確認身心障礙者在與其他人平等基礎上有權自由遷徙、自由選擇居所與享有國籍，包括確保身心障礙者：</w:t>
      </w:r>
    </w:p>
    <w:p>
      <w:pPr>
        <w:pStyle w:val="BodyText"/>
        <w:spacing w:line="256" w:lineRule="auto"/>
        <w:ind w:left="1860" w:hanging="550"/>
      </w:pPr>
      <w:r>
        <w:rPr>
          <w:spacing w:val="-2"/>
        </w:rPr>
        <w:t>（a）有權取得與變更國籍，國籍不被任意剝奪或因身心障礙而</w:t>
      </w:r>
      <w:r>
        <w:rPr>
          <w:spacing w:val="-4"/>
        </w:rPr>
        <w:t>被剝奪；</w:t>
      </w:r>
    </w:p>
    <w:p>
      <w:pPr>
        <w:pStyle w:val="BodyText"/>
        <w:spacing w:line="256" w:lineRule="auto" w:before="1"/>
        <w:ind w:left="1860" w:hanging="550"/>
        <w:jc w:val="both"/>
      </w:pPr>
      <w:r>
        <w:rPr>
          <w:spacing w:val="-2"/>
        </w:rPr>
        <w:t>（b）不因身心障礙而被剝奪獲得、持有及使用國籍證件或其他身分證件之能力，或利用相關處理，如移民程序之能力，該等能力或為便利行使遷徙自由權所必要。</w:t>
      </w:r>
    </w:p>
    <w:p>
      <w:pPr>
        <w:pStyle w:val="BodyText"/>
        <w:spacing w:before="3"/>
        <w:ind w:left="1310" w:right="0"/>
      </w:pPr>
      <w:r>
        <w:rPr/>
        <w:t>（c）</w:t>
      </w:r>
      <w:r>
        <w:rPr>
          <w:spacing w:val="-1"/>
        </w:rPr>
        <w:t>可以自由離開任何國家，包括本國在內；</w:t>
      </w:r>
    </w:p>
    <w:p>
      <w:pPr>
        <w:pStyle w:val="BodyText"/>
        <w:spacing w:line="256" w:lineRule="auto" w:before="22"/>
        <w:ind w:left="1420" w:hanging="110"/>
      </w:pPr>
      <w:r>
        <w:rPr>
          <w:spacing w:val="-2"/>
        </w:rPr>
        <w:t>（d）不被任意剝奪或因身心障礙而被剝奪進入本國之權利。 </w:t>
      </w:r>
      <w:r>
        <w:rPr/>
        <w:t>2.</w:t>
      </w:r>
      <w:r>
        <w:rPr>
          <w:spacing w:val="-1"/>
        </w:rPr>
        <w:t>身心障礙兒童出生後應立即予以登記，從出生起即應享有姓</w:t>
      </w:r>
    </w:p>
    <w:p>
      <w:pPr>
        <w:pStyle w:val="BodyText"/>
        <w:spacing w:line="256" w:lineRule="auto"/>
      </w:pPr>
      <w:r>
        <w:rPr>
          <w:spacing w:val="-2"/>
        </w:rPr>
        <w:t>名權，享有取得國籍之權利，並儘可能享有認識父母及得到父母照顧之權利。</w:t>
      </w:r>
    </w:p>
    <w:p>
      <w:pPr>
        <w:pStyle w:val="BodyText"/>
        <w:tabs>
          <w:tab w:pos="1419" w:val="left" w:leader="none"/>
        </w:tabs>
        <w:spacing w:before="1"/>
        <w:ind w:left="320" w:right="0"/>
      </w:pPr>
      <w:r>
        <w:rPr/>
        <w:t>第 19 </w:t>
      </w:r>
      <w:r>
        <w:rPr>
          <w:spacing w:val="-10"/>
        </w:rPr>
        <w:t>條</w:t>
      </w:r>
      <w:r>
        <w:rPr/>
        <w:tab/>
        <w:t>自立生活與融合社</w:t>
      </w:r>
      <w:r>
        <w:rPr>
          <w:spacing w:val="-10"/>
        </w:rPr>
        <w:t>區</w:t>
      </w:r>
    </w:p>
    <w:p>
      <w:pPr>
        <w:pStyle w:val="BodyText"/>
        <w:spacing w:line="256" w:lineRule="auto" w:before="22"/>
        <w:ind w:left="1420"/>
        <w:jc w:val="both"/>
      </w:pPr>
      <w:r>
        <w:rPr>
          <w:spacing w:val="-2"/>
        </w:rPr>
        <w:t>本公約締約國體認所有身心障礙者享有於社區中生活之平等權利以及與其他人同等之選擇，並應採取有效及適當之措施，以促進身心障礙者充分享有該等權利以及充分融合及參與社區，包括確保：</w:t>
      </w:r>
    </w:p>
    <w:p>
      <w:pPr>
        <w:pStyle w:val="BodyText"/>
        <w:spacing w:line="256" w:lineRule="auto" w:before="4"/>
        <w:ind w:hanging="550"/>
      </w:pPr>
      <w:r>
        <w:rPr>
          <w:spacing w:val="-2"/>
        </w:rPr>
        <w:t>（a）身心障礙者有機會在與其他人平等基礎上選擇居所，選擇於</w:t>
      </w:r>
      <w:r>
        <w:rPr>
          <w:spacing w:val="-1"/>
        </w:rPr>
        <w:t>何處、與何人一起生活，不被強迫於特定之居住安排中生活</w:t>
      </w:r>
    </w:p>
    <w:p>
      <w:pPr>
        <w:spacing w:before="1"/>
        <w:ind w:left="1640" w:right="0" w:firstLine="0"/>
        <w:jc w:val="left"/>
        <w:rPr>
          <w:sz w:val="22"/>
        </w:rPr>
      </w:pPr>
      <w:r>
        <w:rPr>
          <w:sz w:val="22"/>
        </w:rPr>
        <w:t>；</w:t>
      </w:r>
    </w:p>
    <w:p>
      <w:pPr>
        <w:pStyle w:val="BodyText"/>
        <w:spacing w:line="256" w:lineRule="auto" w:before="23"/>
        <w:ind w:hanging="550"/>
        <w:jc w:val="both"/>
      </w:pPr>
      <w:r>
        <w:rPr>
          <w:spacing w:val="-2"/>
        </w:rPr>
        <w:t>（b）身心障礙者享有近用各種居家、住所及其他社區支持服務，包括必要之個人協助，以支持於社區生活及融合社區，避免孤立或隔離於社區之外；</w:t>
      </w:r>
    </w:p>
    <w:p>
      <w:pPr>
        <w:pStyle w:val="BodyText"/>
        <w:ind w:left="1090" w:right="0"/>
      </w:pPr>
      <w:r>
        <w:rPr/>
        <w:t>（c）</w:t>
      </w:r>
      <w:r>
        <w:rPr>
          <w:spacing w:val="-1"/>
        </w:rPr>
        <w:t>為大眾提供之社區服務及設施，亦可由身心障礙者平等使用</w:t>
      </w:r>
    </w:p>
    <w:p>
      <w:pPr>
        <w:pStyle w:val="BodyText"/>
        <w:tabs>
          <w:tab w:pos="1419" w:val="left" w:leader="none"/>
        </w:tabs>
        <w:spacing w:line="256" w:lineRule="auto" w:before="22"/>
        <w:ind w:left="320" w:right="5139" w:firstLine="1320"/>
      </w:pPr>
      <w:r>
        <w:rPr>
          <w:spacing w:val="-2"/>
        </w:rPr>
        <w:t>，並回應其需求</w:t>
      </w:r>
      <w:r>
        <w:rPr>
          <w:spacing w:val="-2"/>
        </w:rPr>
        <w:t>。</w:t>
      </w:r>
      <w:r>
        <w:rPr/>
        <w:t>第 20 條</w:t>
        <w:tab/>
      </w:r>
      <w:r>
        <w:rPr>
          <w:spacing w:val="-2"/>
        </w:rPr>
        <w:t>個人行動能力</w:t>
      </w:r>
    </w:p>
    <w:p>
      <w:pPr>
        <w:pStyle w:val="BodyText"/>
        <w:spacing w:line="256" w:lineRule="auto"/>
        <w:ind w:left="1420"/>
      </w:pPr>
      <w:r>
        <w:rPr>
          <w:spacing w:val="-2"/>
        </w:rPr>
        <w:t>締約國應採取有效措施，確保身心障礙者於最大可能之獨立性下，享有個人行動能力，包括：</w:t>
      </w:r>
    </w:p>
    <w:p>
      <w:pPr>
        <w:pStyle w:val="BodyText"/>
        <w:spacing w:line="256" w:lineRule="auto"/>
        <w:ind w:hanging="550"/>
      </w:pPr>
      <w:r>
        <w:rPr>
          <w:spacing w:val="-2"/>
        </w:rPr>
        <w:t>（a）促進身心障礙者按自己選擇之方式與時間，以其可負擔之費用享有個人行動能力；</w:t>
      </w:r>
    </w:p>
    <w:p>
      <w:pPr>
        <w:spacing w:after="0" w:line="256" w:lineRule="auto"/>
        <w:sectPr>
          <w:pgSz w:w="11900" w:h="16840"/>
          <w:pgMar w:top="480" w:bottom="280" w:left="1680" w:right="1680"/>
        </w:sectPr>
      </w:pPr>
    </w:p>
    <w:p>
      <w:pPr>
        <w:pStyle w:val="BodyText"/>
        <w:spacing w:line="256" w:lineRule="auto" w:before="30"/>
        <w:ind w:hanging="550"/>
        <w:jc w:val="both"/>
      </w:pPr>
      <w:r>
        <w:rPr>
          <w:spacing w:val="-2"/>
        </w:rPr>
        <w:t>（b）促進身心障礙者享有近用優質之行動輔具、用品、輔助技術以及各種形式之現場協助及中介，包括以其可負擔之費用提</w:t>
      </w:r>
      <w:r>
        <w:rPr>
          <w:spacing w:val="-4"/>
        </w:rPr>
        <w:t>供之；</w:t>
      </w:r>
    </w:p>
    <w:p>
      <w:pPr>
        <w:pStyle w:val="BodyText"/>
        <w:ind w:left="1090" w:right="0"/>
      </w:pPr>
      <w:r>
        <w:rPr/>
        <w:t>（c）</w:t>
      </w:r>
      <w:r>
        <w:rPr>
          <w:spacing w:val="-1"/>
        </w:rPr>
        <w:t>提供身心障礙者及與其共事之專業人員行動技能培訓；</w:t>
      </w:r>
    </w:p>
    <w:p>
      <w:pPr>
        <w:pStyle w:val="BodyText"/>
        <w:spacing w:line="256" w:lineRule="auto" w:before="22"/>
        <w:ind w:hanging="550"/>
      </w:pPr>
      <w:r>
        <w:rPr>
          <w:spacing w:val="-2"/>
        </w:rPr>
        <w:t>（d）鼓勵生產行動輔具、用品與輔助技術之生產者斟酌身心障礙者行動能力之所有面向。</w:t>
      </w:r>
    </w:p>
    <w:p>
      <w:pPr>
        <w:pStyle w:val="BodyText"/>
        <w:tabs>
          <w:tab w:pos="1419" w:val="left" w:leader="none"/>
        </w:tabs>
        <w:ind w:left="320" w:right="0"/>
      </w:pPr>
      <w:r>
        <w:rPr/>
        <w:t>第 21 </w:t>
      </w:r>
      <w:r>
        <w:rPr>
          <w:spacing w:val="-10"/>
        </w:rPr>
        <w:t>條</w:t>
      </w:r>
      <w:r>
        <w:rPr/>
        <w:tab/>
        <w:t>表達與意見之自由及近用資</w:t>
      </w:r>
      <w:r>
        <w:rPr>
          <w:spacing w:val="-10"/>
        </w:rPr>
        <w:t>訊</w:t>
      </w:r>
    </w:p>
    <w:p>
      <w:pPr>
        <w:pStyle w:val="BodyText"/>
        <w:spacing w:line="256" w:lineRule="auto" w:before="22"/>
        <w:ind w:left="1420"/>
      </w:pPr>
      <w:r>
        <w:rPr>
          <w:spacing w:val="-2"/>
        </w:rPr>
        <w:t>締約國應採取所有適當措施，確保身心障礙者能夠行使自由表達及意見自由之權利，包括在與其他人平等基礎上，通過自行</w:t>
      </w:r>
      <w:r>
        <w:rPr/>
        <w:t>選擇本公約第 2 條所界定之所有傳播方式，尋求、接收、傳</w:t>
      </w:r>
      <w:r>
        <w:rPr>
          <w:spacing w:val="-2"/>
        </w:rPr>
        <w:t>遞資訊與思想之自由，包括：</w:t>
      </w:r>
    </w:p>
    <w:p>
      <w:pPr>
        <w:pStyle w:val="BodyText"/>
        <w:spacing w:line="256" w:lineRule="auto" w:before="4"/>
        <w:ind w:hanging="550"/>
      </w:pPr>
      <w:r>
        <w:rPr>
          <w:spacing w:val="-2"/>
        </w:rPr>
        <w:t>（a）提供予公眾之資訊須以適於不同身心障礙類別之無障礙形式與技術，及時提供給身心障礙者，不另收費；</w:t>
      </w:r>
    </w:p>
    <w:p>
      <w:pPr>
        <w:pStyle w:val="BodyText"/>
        <w:spacing w:line="256" w:lineRule="auto" w:before="1"/>
        <w:ind w:hanging="550"/>
        <w:jc w:val="both"/>
      </w:pPr>
      <w:r>
        <w:rPr>
          <w:spacing w:val="-2"/>
        </w:rPr>
        <w:t>（b）於正式互動中接受及促進使用手語、點字文件、輔助與替代性傳播及身心障礙者選用之其他所有無障礙傳播方法、模式</w:t>
      </w:r>
      <w:r>
        <w:rPr>
          <w:spacing w:val="-4"/>
        </w:rPr>
        <w:t>及格式；</w:t>
      </w:r>
    </w:p>
    <w:p>
      <w:pPr>
        <w:pStyle w:val="BodyText"/>
        <w:spacing w:before="3"/>
        <w:ind w:left="0"/>
        <w:jc w:val="right"/>
      </w:pPr>
      <w:r>
        <w:rPr/>
        <w:t>（c）</w:t>
      </w:r>
      <w:r>
        <w:rPr>
          <w:spacing w:val="-1"/>
        </w:rPr>
        <w:t>敦促提供公眾服務之私人單位，包括通過網際網路提供服務</w:t>
      </w:r>
    </w:p>
    <w:p>
      <w:pPr>
        <w:pStyle w:val="BodyText"/>
        <w:spacing w:before="22"/>
        <w:ind w:left="1420"/>
        <w:jc w:val="right"/>
      </w:pPr>
      <w:r>
        <w:rPr>
          <w:spacing w:val="-1"/>
        </w:rPr>
        <w:t>，以無障礙及身心障礙者可以使用之模式提供資訊及服務；</w:t>
      </w:r>
    </w:p>
    <w:p>
      <w:pPr>
        <w:pStyle w:val="BodyText"/>
        <w:spacing w:line="256" w:lineRule="auto" w:before="22"/>
        <w:ind w:hanging="550"/>
      </w:pPr>
      <w:r>
        <w:rPr>
          <w:spacing w:val="-2"/>
        </w:rPr>
        <w:t>（d）鼓勵大眾媒體，包括透過網際網路資訊提供者，使其服務得為身心障礙者近用；</w:t>
      </w:r>
    </w:p>
    <w:p>
      <w:pPr>
        <w:pStyle w:val="BodyText"/>
        <w:tabs>
          <w:tab w:pos="1419" w:val="left" w:leader="none"/>
        </w:tabs>
        <w:spacing w:line="256" w:lineRule="auto"/>
        <w:ind w:left="320" w:right="4479" w:firstLine="770"/>
      </w:pPr>
      <w:r>
        <w:rPr>
          <w:spacing w:val="-2"/>
        </w:rPr>
        <w:t>（e）承認及推廣手語之使用</w:t>
      </w:r>
      <w:r>
        <w:rPr>
          <w:spacing w:val="-2"/>
        </w:rPr>
        <w:t>。</w:t>
      </w:r>
      <w:r>
        <w:rPr/>
        <w:t>第 22 條</w:t>
        <w:tab/>
      </w:r>
      <w:r>
        <w:rPr>
          <w:spacing w:val="-4"/>
        </w:rPr>
        <w:t>尊重隱私</w:t>
      </w:r>
    </w:p>
    <w:p>
      <w:pPr>
        <w:pStyle w:val="BodyText"/>
        <w:ind w:left="1420"/>
        <w:jc w:val="right"/>
      </w:pPr>
      <w:r>
        <w:rPr/>
        <w:t>1.</w:t>
      </w:r>
      <w:r>
        <w:rPr>
          <w:spacing w:val="-1"/>
        </w:rPr>
        <w:t>身心障礙者，不論其居所地或居住安排為何，其隱私、家庭</w:t>
      </w:r>
    </w:p>
    <w:p>
      <w:pPr>
        <w:pStyle w:val="BodyText"/>
        <w:spacing w:before="22"/>
        <w:ind w:left="0"/>
        <w:jc w:val="right"/>
      </w:pPr>
      <w:r>
        <w:rPr>
          <w:spacing w:val="-1"/>
        </w:rPr>
        <w:t>、家居與通信及其他形式之傳播，不得受到任意或非法干擾</w:t>
      </w:r>
    </w:p>
    <w:p>
      <w:pPr>
        <w:pStyle w:val="BodyText"/>
        <w:spacing w:line="256" w:lineRule="auto" w:before="22"/>
      </w:pPr>
      <w:r>
        <w:rPr>
          <w:spacing w:val="-2"/>
        </w:rPr>
        <w:t>，其尊榮與名譽也不得受到非法攻擊。身心障礙者有權獲得法律保障，不受該等干擾或攻擊。</w:t>
      </w:r>
    </w:p>
    <w:p>
      <w:pPr>
        <w:pStyle w:val="BodyText"/>
        <w:spacing w:line="256" w:lineRule="auto"/>
        <w:ind w:hanging="220"/>
      </w:pPr>
      <w:r>
        <w:rPr>
          <w:spacing w:val="-2"/>
        </w:rPr>
        <w:t>2.締約國應在與其他人平等基礎上保障身心障礙者之個人、健康與復健資料之隱私。</w:t>
      </w:r>
    </w:p>
    <w:p>
      <w:pPr>
        <w:pStyle w:val="BodyText"/>
        <w:tabs>
          <w:tab w:pos="1419" w:val="left" w:leader="none"/>
        </w:tabs>
        <w:ind w:left="320" w:right="0"/>
      </w:pPr>
      <w:r>
        <w:rPr/>
        <w:t>第 23 </w:t>
      </w:r>
      <w:r>
        <w:rPr>
          <w:spacing w:val="-10"/>
        </w:rPr>
        <w:t>條</w:t>
      </w:r>
      <w:r>
        <w:rPr/>
        <w:tab/>
        <w:t>尊重家居與家</w:t>
      </w:r>
      <w:r>
        <w:rPr>
          <w:spacing w:val="-10"/>
        </w:rPr>
        <w:t>庭</w:t>
      </w:r>
    </w:p>
    <w:p>
      <w:pPr>
        <w:pStyle w:val="BodyText"/>
        <w:spacing w:line="256" w:lineRule="auto" w:before="22"/>
        <w:ind w:hanging="220"/>
        <w:jc w:val="both"/>
      </w:pPr>
      <w:r>
        <w:rPr>
          <w:spacing w:val="-2"/>
        </w:rPr>
        <w:t>1.締約國應採取有效及適當措施，在與其他人平等基礎上，於涉及婚姻、家庭、父母身分及家屬關係之所有事項中，消除對身心障礙者之歧視，以確保：</w:t>
      </w:r>
    </w:p>
    <w:p>
      <w:pPr>
        <w:pStyle w:val="BodyText"/>
        <w:spacing w:line="256" w:lineRule="auto"/>
        <w:ind w:left="1860" w:hanging="550"/>
      </w:pPr>
      <w:r>
        <w:rPr>
          <w:spacing w:val="-2"/>
        </w:rPr>
        <w:t>（a）所有適婚年齡之身心障礙者，基於當事人雙方自由與充分之同意，其結婚與組成家庭之權利，獲得承認；</w:t>
      </w:r>
    </w:p>
    <w:p>
      <w:pPr>
        <w:pStyle w:val="BodyText"/>
        <w:spacing w:line="256" w:lineRule="auto"/>
        <w:ind w:left="1860" w:hanging="550"/>
        <w:jc w:val="both"/>
      </w:pPr>
      <w:r>
        <w:rPr>
          <w:spacing w:val="-2"/>
        </w:rPr>
        <w:t>（b）身心障礙者得自由且負責任地決定子女人數及生育間隔，近用適齡資訊、生育及家庭計畫教育之權利獲得承認，並提供必要措施使身心障礙者得以行使該等權利；</w:t>
      </w:r>
    </w:p>
    <w:p>
      <w:pPr>
        <w:pStyle w:val="BodyText"/>
        <w:ind w:left="1310" w:right="0"/>
      </w:pPr>
      <w:r>
        <w:rPr/>
        <w:t>（c）</w:t>
      </w:r>
      <w:r>
        <w:rPr>
          <w:spacing w:val="-1"/>
        </w:rPr>
        <w:t>在與其他人平等基礎上，身心障礙者，包括身心障礙兒童</w:t>
      </w:r>
    </w:p>
    <w:p>
      <w:pPr>
        <w:pStyle w:val="BodyText"/>
        <w:spacing w:line="256" w:lineRule="auto" w:before="23"/>
        <w:ind w:left="1420" w:firstLine="440"/>
      </w:pPr>
      <w:r>
        <w:rPr>
          <w:spacing w:val="-2"/>
        </w:rPr>
        <w:t>，保留其生育能力。</w:t>
      </w:r>
      <w:r>
        <w:rPr>
          <w:spacing w:val="80"/>
          <w:w w:val="150"/>
        </w:rPr>
        <w:t>              </w:t>
      </w:r>
      <w:r>
        <w:rPr/>
        <w:t>2.</w:t>
      </w:r>
      <w:r>
        <w:rPr>
          <w:spacing w:val="-1"/>
        </w:rPr>
        <w:t>存在於本國立法中有關監護、監管、託管及收養兒童或類似</w:t>
      </w:r>
    </w:p>
    <w:p>
      <w:pPr>
        <w:pStyle w:val="BodyText"/>
        <w:spacing w:line="256" w:lineRule="auto" w:before="1"/>
        <w:jc w:val="both"/>
      </w:pPr>
      <w:r>
        <w:rPr>
          <w:spacing w:val="-2"/>
        </w:rPr>
        <w:t>制度等概念，締約國應確保身心障礙者於該等方面之權利及責任；於任何情況下均應以兒童最佳利益為最優先。締約國應適當協助身心障礙者履行其養育子女之責任。</w:t>
      </w:r>
    </w:p>
    <w:p>
      <w:pPr>
        <w:pStyle w:val="BodyText"/>
        <w:spacing w:line="256" w:lineRule="auto" w:before="3"/>
        <w:ind w:hanging="220"/>
        <w:jc w:val="both"/>
      </w:pPr>
      <w:r>
        <w:rPr>
          <w:spacing w:val="-2"/>
        </w:rPr>
        <w:t>3.締約國應確保身心障礙兒童於家庭生活方面享有平等權利。為實現該等權利，並防止隱藏、遺棄、疏忽與隔離身心障礙兒童，締約國應承諾及早提供身心障礙兒童及其家屬全面之資訊、服務及協助。</w:t>
      </w:r>
    </w:p>
    <w:p>
      <w:pPr>
        <w:pStyle w:val="BodyText"/>
        <w:spacing w:before="3"/>
        <w:ind w:left="1420"/>
        <w:jc w:val="right"/>
      </w:pPr>
      <w:r>
        <w:rPr/>
        <w:t>4.</w:t>
      </w:r>
      <w:r>
        <w:rPr>
          <w:spacing w:val="-1"/>
        </w:rPr>
        <w:t>締約國應確保不違背兒童父母意願使子女與父母分離，除非</w:t>
      </w:r>
    </w:p>
    <w:p>
      <w:pPr>
        <w:spacing w:after="0"/>
        <w:jc w:val="right"/>
        <w:sectPr>
          <w:pgSz w:w="11900" w:h="16840"/>
          <w:pgMar w:top="480" w:bottom="280" w:left="1680" w:right="1680"/>
        </w:sectPr>
      </w:pPr>
    </w:p>
    <w:p>
      <w:pPr>
        <w:pStyle w:val="BodyText"/>
        <w:spacing w:line="256" w:lineRule="auto" w:before="30"/>
        <w:jc w:val="both"/>
      </w:pPr>
      <w:r>
        <w:rPr>
          <w:spacing w:val="-2"/>
        </w:rPr>
        <w:t>主管當局依照適用之法律與程序，經司法審查判定基於兒童本人之最佳利益，此種分離確有其必要。於任何情況下均不得以子女身心障礙或父母一方或雙方身心障礙為由，使子女與父母分離。</w:t>
      </w:r>
    </w:p>
    <w:p>
      <w:pPr>
        <w:pStyle w:val="BodyText"/>
        <w:spacing w:line="256" w:lineRule="auto" w:before="3"/>
        <w:ind w:hanging="220"/>
        <w:jc w:val="both"/>
      </w:pPr>
      <w:r>
        <w:rPr>
          <w:spacing w:val="-2"/>
        </w:rPr>
        <w:t>5.締約國應於直系親屬不能照顧身心障礙兒童之情況下，盡一切努力於家族範圍內提供替代性照顧，並於無法提供該等照顧時，於社區內提供家庭式照顧。</w:t>
      </w:r>
    </w:p>
    <w:p>
      <w:pPr>
        <w:pStyle w:val="BodyText"/>
        <w:ind w:left="320" w:right="0"/>
        <w:jc w:val="both"/>
      </w:pPr>
      <w:r>
        <w:rPr/>
        <w:t>第 24 條</w:t>
      </w:r>
      <w:r>
        <w:rPr>
          <w:spacing w:val="55"/>
          <w:w w:val="150"/>
        </w:rPr>
        <w:t> </w:t>
      </w:r>
      <w:r>
        <w:rPr>
          <w:spacing w:val="-5"/>
        </w:rPr>
        <w:t>教育</w:t>
      </w:r>
    </w:p>
    <w:p>
      <w:pPr>
        <w:pStyle w:val="BodyText"/>
        <w:spacing w:line="256" w:lineRule="auto" w:before="23"/>
        <w:ind w:hanging="220"/>
        <w:jc w:val="both"/>
      </w:pPr>
      <w:r>
        <w:rPr>
          <w:spacing w:val="-2"/>
        </w:rPr>
        <w:t>1.締約國確認身心障礙者享有受教育之權利。為了於不受歧視及機會均等之基礎上實現此一權利，締約國應確保於各級教育實行融合教育制度及終身學習，朝向：</w:t>
      </w:r>
    </w:p>
    <w:p>
      <w:pPr>
        <w:pStyle w:val="BodyText"/>
        <w:spacing w:line="256" w:lineRule="auto"/>
        <w:ind w:left="1860" w:hanging="550"/>
      </w:pPr>
      <w:r>
        <w:rPr>
          <w:spacing w:val="-2"/>
        </w:rPr>
        <w:t>（a）充分開發人之潛力、尊嚴與自我價值，並加強對人權、基本自由及人之多元性之尊重；</w:t>
      </w:r>
    </w:p>
    <w:p>
      <w:pPr>
        <w:pStyle w:val="BodyText"/>
        <w:spacing w:line="256" w:lineRule="auto"/>
        <w:ind w:left="1860" w:hanging="550"/>
      </w:pPr>
      <w:r>
        <w:rPr>
          <w:spacing w:val="-2"/>
        </w:rPr>
        <w:t>（b）極致發展身心障礙者之人格、才華與創造力以及心智能力</w:t>
      </w:r>
      <w:r>
        <w:rPr>
          <w:spacing w:val="-4"/>
        </w:rPr>
        <w:t>及體能；</w:t>
      </w:r>
    </w:p>
    <w:p>
      <w:pPr>
        <w:pStyle w:val="BodyText"/>
        <w:spacing w:line="256" w:lineRule="auto" w:before="1"/>
        <w:ind w:left="1420" w:right="2719" w:hanging="110"/>
      </w:pPr>
      <w:r>
        <w:rPr>
          <w:spacing w:val="-2"/>
        </w:rPr>
        <w:t>（c）使所有身心障礙者能有效參與自由社會。 2.為實現此一權利，締約國應確保：</w:t>
      </w:r>
    </w:p>
    <w:p>
      <w:pPr>
        <w:pStyle w:val="BodyText"/>
        <w:spacing w:line="256" w:lineRule="auto"/>
        <w:ind w:left="1860" w:hanging="550"/>
        <w:jc w:val="both"/>
      </w:pPr>
      <w:r>
        <w:rPr>
          <w:spacing w:val="-2"/>
        </w:rPr>
        <w:t>（a）身心障礙者不因身心障礙而被排拒於普通教育系統之外，身心障礙兒童不因身心障礙而被排拒於免費與義務小學教育或中等教育之外；</w:t>
      </w:r>
    </w:p>
    <w:p>
      <w:pPr>
        <w:pStyle w:val="BodyText"/>
        <w:spacing w:line="256" w:lineRule="auto"/>
        <w:ind w:left="1860" w:hanging="550"/>
      </w:pPr>
      <w:r>
        <w:rPr>
          <w:spacing w:val="-2"/>
        </w:rPr>
        <w:t>（b）身心障礙者可以於自己生活之社區內，在與其他人平等基礎上，獲得融合、優質及免費之小學教育及中等教育；</w:t>
      </w:r>
    </w:p>
    <w:p>
      <w:pPr>
        <w:pStyle w:val="BodyText"/>
        <w:ind w:left="1310" w:right="0"/>
      </w:pPr>
      <w:r>
        <w:rPr/>
        <w:t>（c）</w:t>
      </w:r>
      <w:r>
        <w:rPr>
          <w:spacing w:val="-1"/>
        </w:rPr>
        <w:t>提供合理之對待以滿足個人需求；</w:t>
      </w:r>
    </w:p>
    <w:p>
      <w:pPr>
        <w:pStyle w:val="BodyText"/>
        <w:spacing w:line="256" w:lineRule="auto" w:before="22"/>
        <w:ind w:left="1860" w:hanging="550"/>
      </w:pPr>
      <w:r>
        <w:rPr>
          <w:spacing w:val="-2"/>
        </w:rPr>
        <w:t>（d）身心障礙者於普通教育系統中獲得必要之協助，以利其獲得有效之教育；</w:t>
      </w:r>
    </w:p>
    <w:p>
      <w:pPr>
        <w:pStyle w:val="BodyText"/>
        <w:spacing w:line="256" w:lineRule="auto"/>
        <w:ind w:left="1860" w:hanging="550"/>
      </w:pPr>
      <w:r>
        <w:rPr>
          <w:spacing w:val="-2"/>
        </w:rPr>
        <w:t>（e）符合充分融合之目標下，於最有利於學業與社會發展之環境中，提供有效之個別化協助措施。</w:t>
      </w:r>
    </w:p>
    <w:p>
      <w:pPr>
        <w:pStyle w:val="BodyText"/>
        <w:spacing w:line="256" w:lineRule="auto"/>
        <w:ind w:hanging="220"/>
        <w:jc w:val="both"/>
      </w:pPr>
      <w:r>
        <w:rPr>
          <w:spacing w:val="-2"/>
        </w:rPr>
        <w:t>3.締約國應使身心障礙者能夠學習生活與社會發展技能，促進其充分及平等地參與教育及融合社區。為此目的，締約國應採取適當措施，包括：</w:t>
      </w:r>
    </w:p>
    <w:p>
      <w:pPr>
        <w:pStyle w:val="BodyText"/>
        <w:spacing w:line="256" w:lineRule="auto"/>
        <w:ind w:left="1860" w:hanging="550"/>
      </w:pPr>
      <w:r>
        <w:rPr>
          <w:spacing w:val="-2"/>
        </w:rPr>
        <w:t>（a）促進學習點字文件、替代文字、輔助與替代性傳播方法、</w:t>
      </w:r>
      <w:r>
        <w:rPr>
          <w:spacing w:val="-1"/>
        </w:rPr>
        <w:t>模式及格式、定向與行動技能，並促進同儕支持及指導；</w:t>
      </w:r>
    </w:p>
    <w:p>
      <w:pPr>
        <w:pStyle w:val="BodyText"/>
        <w:ind w:left="1310" w:right="0"/>
      </w:pPr>
      <w:r>
        <w:rPr/>
        <w:t>（b）</w:t>
      </w:r>
      <w:r>
        <w:rPr>
          <w:spacing w:val="-1"/>
        </w:rPr>
        <w:t>促進手語之學習及推廣聽覺障礙社群之語言認同；</w:t>
      </w:r>
    </w:p>
    <w:p>
      <w:pPr>
        <w:pStyle w:val="BodyText"/>
        <w:spacing w:line="256" w:lineRule="auto" w:before="22"/>
        <w:ind w:left="1860" w:hanging="550"/>
        <w:jc w:val="both"/>
      </w:pPr>
      <w:r>
        <w:rPr>
          <w:spacing w:val="-2"/>
        </w:rPr>
        <w:t>（c）確保以最適合個人情況之語言與傳播方法、模式及於最有利於學業及社會發展之環境中，提供教育予視覺、聽覺障礙或視聽覺障礙者，特別是視覺、聽覺障礙或視聽覺障礙</w:t>
      </w:r>
      <w:r>
        <w:rPr>
          <w:spacing w:val="-4"/>
        </w:rPr>
        <w:t>兒童。</w:t>
      </w:r>
    </w:p>
    <w:p>
      <w:pPr>
        <w:pStyle w:val="BodyText"/>
        <w:spacing w:line="256" w:lineRule="auto" w:before="3"/>
        <w:ind w:hanging="220"/>
        <w:jc w:val="both"/>
      </w:pPr>
      <w:r>
        <w:rPr>
          <w:spacing w:val="-2"/>
        </w:rPr>
        <w:t>4.為幫助確保實現該等權利，締約國應採取適當措施，聘用合格之手語或點字教學教師，包括身心障礙教師，並對各級教育之專業人員與工作人員進行培訓。該等培訓應包括障礙意識及學習使用適當之輔助替代性傳播方法、模式及格式、教育技能及教材，以協助身心障礙者。</w:t>
      </w:r>
    </w:p>
    <w:p>
      <w:pPr>
        <w:pStyle w:val="BodyText"/>
        <w:spacing w:line="256" w:lineRule="auto" w:before="4"/>
        <w:ind w:hanging="220"/>
      </w:pPr>
      <w:r>
        <w:rPr>
          <w:spacing w:val="-2"/>
        </w:rPr>
        <w:t>5.締約國應確保身心障礙者能夠於不受歧視及與其他人平等基</w:t>
      </w:r>
      <w:r>
        <w:rPr>
          <w:spacing w:val="-1"/>
        </w:rPr>
        <w:t>礎上，獲得一般高等教育、職業訓練、成人教育及終身學習</w:t>
      </w:r>
    </w:p>
    <w:p>
      <w:pPr>
        <w:pStyle w:val="BodyText"/>
        <w:tabs>
          <w:tab w:pos="1419" w:val="left" w:leader="none"/>
        </w:tabs>
        <w:spacing w:line="256" w:lineRule="auto"/>
        <w:ind w:left="320" w:firstLine="1320"/>
      </w:pPr>
      <w:r>
        <w:rPr>
          <w:spacing w:val="-2"/>
        </w:rPr>
        <w:t>。為此目的，締約國應確保向身心障礙者提供合理之對待</w:t>
      </w:r>
      <w:r>
        <w:rPr>
          <w:spacing w:val="-2"/>
        </w:rPr>
        <w:t>。</w:t>
      </w:r>
      <w:r>
        <w:rPr/>
        <w:t>第 25 條</w:t>
        <w:tab/>
      </w:r>
      <w:r>
        <w:rPr>
          <w:spacing w:val="-6"/>
        </w:rPr>
        <w:t>健康</w:t>
      </w:r>
    </w:p>
    <w:p>
      <w:pPr>
        <w:pStyle w:val="BodyText"/>
        <w:spacing w:line="256" w:lineRule="auto" w:before="1"/>
        <w:ind w:left="1420"/>
      </w:pPr>
      <w:r>
        <w:rPr>
          <w:spacing w:val="-2"/>
        </w:rPr>
        <w:t>締約國確認，身心障礙者有權享有可達到之最高健康標準，不</w:t>
      </w:r>
      <w:r>
        <w:rPr>
          <w:spacing w:val="-1"/>
        </w:rPr>
        <w:t>因身心障礙而受到歧視。締約國應採取所有適當措施，確保身</w:t>
      </w:r>
    </w:p>
    <w:p>
      <w:pPr>
        <w:spacing w:after="0" w:line="256" w:lineRule="auto"/>
        <w:sectPr>
          <w:pgSz w:w="11900" w:h="16840"/>
          <w:pgMar w:top="480" w:bottom="280" w:left="1680" w:right="1680"/>
        </w:sectPr>
      </w:pPr>
    </w:p>
    <w:p>
      <w:pPr>
        <w:pStyle w:val="BodyText"/>
        <w:spacing w:line="256" w:lineRule="auto" w:before="30"/>
        <w:ind w:left="1420"/>
      </w:pPr>
      <w:r>
        <w:rPr>
          <w:spacing w:val="-2"/>
        </w:rPr>
        <w:t>心障礙者獲得考慮到性別敏感度之健康服務，包括與健康有關之復健服務。締約國尤其應：</w:t>
      </w:r>
    </w:p>
    <w:p>
      <w:pPr>
        <w:pStyle w:val="BodyText"/>
        <w:spacing w:line="256" w:lineRule="auto" w:before="1"/>
        <w:ind w:hanging="550"/>
        <w:jc w:val="both"/>
      </w:pPr>
      <w:r>
        <w:rPr>
          <w:spacing w:val="-2"/>
        </w:rPr>
        <w:t>（a）提供身心障礙者與其他人享有同等範圍、質量與標準之免費或可負擔之健康照護與方案，包括於性與生育健康及全民公共衛生方案領域；</w:t>
      </w:r>
    </w:p>
    <w:p>
      <w:pPr>
        <w:pStyle w:val="BodyText"/>
        <w:spacing w:line="256" w:lineRule="auto" w:before="3"/>
        <w:ind w:hanging="550"/>
        <w:jc w:val="both"/>
      </w:pPr>
      <w:r>
        <w:rPr>
          <w:spacing w:val="-2"/>
        </w:rPr>
        <w:t>（b）提供身心障礙者因其身心障礙而特別需要之健康服務，包括提供適當之早期診斷與介入，及提供設計用來極小化與預防</w:t>
      </w:r>
      <w:r>
        <w:rPr>
          <w:spacing w:val="-1"/>
        </w:rPr>
        <w:t>進一步障礙發生之服務，包括提供兒童及老年人該等服務；</w:t>
      </w:r>
    </w:p>
    <w:p>
      <w:pPr>
        <w:pStyle w:val="BodyText"/>
        <w:spacing w:line="256" w:lineRule="auto"/>
        <w:ind w:hanging="550"/>
      </w:pPr>
      <w:r>
        <w:rPr>
          <w:spacing w:val="-2"/>
        </w:rPr>
        <w:t>（c）儘可能於身心障礙者最近所在之社區，包括鄉村地區，提供該等健康服務；</w:t>
      </w:r>
    </w:p>
    <w:p>
      <w:pPr>
        <w:pStyle w:val="BodyText"/>
        <w:spacing w:line="256" w:lineRule="auto"/>
        <w:ind w:hanging="550"/>
        <w:jc w:val="both"/>
      </w:pPr>
      <w:r>
        <w:rPr>
          <w:spacing w:val="-2"/>
        </w:rPr>
        <w:t>（d）要求醫事人員，包括於徵得身心障礙者自由意識並知情同意之基礎上，提供身心障礙者與其他人相同品質之照護，其中包括藉由提供培訓與頒布公共及私營健康照護之倫理標準，提高對身心障礙者人權、尊嚴、自主及需求之意識；</w:t>
      </w:r>
    </w:p>
    <w:p>
      <w:pPr>
        <w:pStyle w:val="BodyText"/>
        <w:spacing w:line="256" w:lineRule="auto" w:before="3"/>
        <w:ind w:hanging="550"/>
      </w:pPr>
      <w:r>
        <w:rPr>
          <w:spacing w:val="-2"/>
        </w:rPr>
        <w:t>（e）於提供健康保險與國家法律許可之人壽保險方面，禁止歧視身心障礙者，該等保險應以公平合理之方式提供；</w:t>
      </w:r>
    </w:p>
    <w:p>
      <w:pPr>
        <w:pStyle w:val="BodyText"/>
        <w:spacing w:line="256" w:lineRule="auto"/>
        <w:ind w:hanging="550"/>
      </w:pPr>
      <w:r>
        <w:rPr>
          <w:spacing w:val="-2"/>
        </w:rPr>
        <w:t>（f）防止以身心障礙為由而歧視性地拒絕提供健康照護或健康服務，或拒絕提供食物與液體。</w:t>
      </w:r>
    </w:p>
    <w:p>
      <w:pPr>
        <w:pStyle w:val="BodyText"/>
        <w:tabs>
          <w:tab w:pos="1419" w:val="left" w:leader="none"/>
        </w:tabs>
        <w:spacing w:before="1"/>
        <w:ind w:left="320" w:right="0"/>
      </w:pPr>
      <w:r>
        <w:rPr/>
        <w:t>第 26 </w:t>
      </w:r>
      <w:r>
        <w:rPr>
          <w:spacing w:val="-10"/>
        </w:rPr>
        <w:t>條</w:t>
      </w:r>
      <w:r>
        <w:rPr/>
        <w:tab/>
        <w:t>適應訓練與復</w:t>
      </w:r>
      <w:r>
        <w:rPr>
          <w:spacing w:val="-10"/>
        </w:rPr>
        <w:t>健</w:t>
      </w:r>
    </w:p>
    <w:p>
      <w:pPr>
        <w:pStyle w:val="BodyText"/>
        <w:spacing w:line="256" w:lineRule="auto" w:before="23"/>
        <w:ind w:hanging="220"/>
        <w:jc w:val="both"/>
      </w:pPr>
      <w:r>
        <w:rPr>
          <w:spacing w:val="-2"/>
        </w:rPr>
        <w:t>1.締約國應採取有效與適當措施，包括經由同儕支持，使身心障礙者能夠達到及保持最大程度之自立，充分發揮及維持體</w:t>
      </w:r>
      <w:r>
        <w:rPr>
          <w:spacing w:val="-1"/>
        </w:rPr>
        <w:t>能、智能、社會及職業能力，充分融合及參與生活所有方面</w:t>
      </w:r>
    </w:p>
    <w:p>
      <w:pPr>
        <w:pStyle w:val="BodyText"/>
        <w:spacing w:line="256" w:lineRule="auto"/>
        <w:jc w:val="both"/>
      </w:pPr>
      <w:r>
        <w:rPr>
          <w:spacing w:val="-2"/>
        </w:rPr>
        <w:t>。為此目的，締約國應組織、加強與擴展完整之適應訓練、復健服務及方案，尤其是於健康、就業、教育及社會服務等領域，該等服務與方案應：</w:t>
      </w:r>
    </w:p>
    <w:p>
      <w:pPr>
        <w:pStyle w:val="BodyText"/>
        <w:ind w:left="1310" w:right="0"/>
      </w:pPr>
      <w:r>
        <w:rPr/>
        <w:t>（a）</w:t>
      </w:r>
      <w:r>
        <w:rPr>
          <w:spacing w:val="-1"/>
        </w:rPr>
        <w:t>及早開始依據個人需求與優勢能力進行跨專業之評估；</w:t>
      </w:r>
    </w:p>
    <w:p>
      <w:pPr>
        <w:pStyle w:val="BodyText"/>
        <w:spacing w:line="256" w:lineRule="auto" w:before="23"/>
        <w:ind w:left="1860" w:hanging="550"/>
      </w:pPr>
      <w:r>
        <w:rPr>
          <w:spacing w:val="-2"/>
        </w:rPr>
        <w:t>（b）協助身心障礙者依其意願於社區及社會各層面之參與及融合，並儘可能於身心障礙者最近社區，包括鄉村地區。</w:t>
      </w:r>
    </w:p>
    <w:p>
      <w:pPr>
        <w:pStyle w:val="BodyText"/>
        <w:spacing w:before="1"/>
        <w:ind w:left="1420" w:right="0"/>
      </w:pPr>
      <w:r>
        <w:rPr/>
        <w:t>2.</w:t>
      </w:r>
      <w:r>
        <w:rPr>
          <w:spacing w:val="-1"/>
        </w:rPr>
        <w:t>締約國應為從事適應訓練與復健服務之專業人員及工作人員</w:t>
      </w:r>
    </w:p>
    <w:p>
      <w:pPr>
        <w:pStyle w:val="BodyText"/>
        <w:spacing w:line="256" w:lineRule="auto" w:before="23"/>
        <w:ind w:left="1420" w:firstLine="220"/>
      </w:pPr>
      <w:r>
        <w:rPr>
          <w:spacing w:val="-2"/>
        </w:rPr>
        <w:t>，推廣基礎及繼續培訓之發展。</w:t>
      </w:r>
      <w:r>
        <w:rPr>
          <w:spacing w:val="80"/>
          <w:w w:val="150"/>
        </w:rPr>
        <w:t>           </w:t>
      </w:r>
      <w:r>
        <w:rPr>
          <w:spacing w:val="-2"/>
        </w:rPr>
        <w:t>3.於適應訓練與復健方面，締約國應推廣為身心障礙者設計之</w:t>
      </w:r>
    </w:p>
    <w:p>
      <w:pPr>
        <w:pStyle w:val="BodyText"/>
        <w:tabs>
          <w:tab w:pos="1419" w:val="left" w:leader="none"/>
        </w:tabs>
        <w:spacing w:line="256" w:lineRule="auto" w:before="1"/>
        <w:ind w:left="320" w:right="3379" w:firstLine="1320"/>
      </w:pPr>
      <w:r>
        <w:rPr>
          <w:spacing w:val="-2"/>
        </w:rPr>
        <w:t>輔具與技術之可及性、知識及運用</w:t>
      </w:r>
      <w:r>
        <w:rPr>
          <w:spacing w:val="-2"/>
        </w:rPr>
        <w:t>。</w:t>
      </w:r>
      <w:r>
        <w:rPr/>
        <w:t>第 27 條</w:t>
        <w:tab/>
      </w:r>
      <w:r>
        <w:rPr>
          <w:spacing w:val="-4"/>
        </w:rPr>
        <w:t>工作與就業</w:t>
      </w:r>
    </w:p>
    <w:p>
      <w:pPr>
        <w:pStyle w:val="BodyText"/>
        <w:spacing w:line="256" w:lineRule="auto"/>
        <w:ind w:hanging="220"/>
        <w:jc w:val="both"/>
      </w:pPr>
      <w:r>
        <w:rPr>
          <w:spacing w:val="-2"/>
        </w:rPr>
        <w:t>1.締約國承認身心障礙者享有與其他人平等之工作權利；此包括於一個開放、融合與無障礙之勞動市場及工作環境中，身心障礙者有自由選擇與接受謀生工作機會之權利。締約國應採取適當步驟，防護及促進工作權之實現，包括於就業期間發生障礙事實者，其中包括，透過法律：</w:t>
      </w:r>
    </w:p>
    <w:p>
      <w:pPr>
        <w:pStyle w:val="BodyText"/>
        <w:spacing w:line="256" w:lineRule="auto" w:before="4"/>
        <w:ind w:left="1860" w:hanging="550"/>
        <w:jc w:val="both"/>
      </w:pPr>
      <w:r>
        <w:rPr>
          <w:spacing w:val="-2"/>
        </w:rPr>
        <w:t>（a）禁止基於身心障礙者就各種就業形式有關之所有事項上之歧視，包括於招募、僱用與就業條件、持續就業、職涯提升及安全與衛生之工作條件方面；</w:t>
      </w:r>
    </w:p>
    <w:p>
      <w:pPr>
        <w:pStyle w:val="BodyText"/>
        <w:spacing w:line="256" w:lineRule="auto"/>
        <w:ind w:left="1860" w:hanging="550"/>
        <w:jc w:val="both"/>
      </w:pPr>
      <w:r>
        <w:rPr>
          <w:spacing w:val="-2"/>
        </w:rPr>
        <w:t>（b）保障身心障礙者在與其他人平等基礎上享有公平與良好之工作條件，包括機會均等及同工同酬之權利，享有安全及衛生之工作環境，包括免於騷擾之保障，並享有遭受侵害</w:t>
      </w:r>
      <w:r>
        <w:rPr>
          <w:spacing w:val="-4"/>
        </w:rPr>
        <w:t>之救濟；</w:t>
      </w:r>
    </w:p>
    <w:p>
      <w:pPr>
        <w:pStyle w:val="BodyText"/>
        <w:spacing w:line="256" w:lineRule="auto" w:before="4"/>
        <w:ind w:left="1860" w:hanging="550"/>
      </w:pPr>
      <w:r>
        <w:rPr>
          <w:spacing w:val="-2"/>
        </w:rPr>
        <w:t>（c）確保身心障礙者能夠在與其他人平等基礎上行使勞動權及</w:t>
      </w:r>
      <w:r>
        <w:rPr>
          <w:spacing w:val="-4"/>
        </w:rPr>
        <w:t>工會權；</w:t>
      </w:r>
    </w:p>
    <w:p>
      <w:pPr>
        <w:pStyle w:val="BodyText"/>
        <w:spacing w:before="1"/>
        <w:ind w:left="1310" w:right="0"/>
      </w:pPr>
      <w:r>
        <w:rPr/>
        <w:t>（d）</w:t>
      </w:r>
      <w:r>
        <w:rPr>
          <w:spacing w:val="-1"/>
        </w:rPr>
        <w:t>使身心障礙者能夠有效參加一般技術與職業指導方案，獲</w:t>
      </w:r>
    </w:p>
    <w:p>
      <w:pPr>
        <w:spacing w:after="0"/>
        <w:sectPr>
          <w:pgSz w:w="11900" w:h="16840"/>
          <w:pgMar w:top="480" w:bottom="280" w:left="1680" w:right="1680"/>
        </w:sectPr>
      </w:pPr>
    </w:p>
    <w:p>
      <w:pPr>
        <w:pStyle w:val="BodyText"/>
        <w:spacing w:before="30"/>
        <w:ind w:left="1860" w:right="0"/>
      </w:pPr>
      <w:r>
        <w:rPr>
          <w:spacing w:val="-1"/>
        </w:rPr>
        <w:t>得就業服務及職業與繼續訓練；</w:t>
      </w:r>
    </w:p>
    <w:p>
      <w:pPr>
        <w:pStyle w:val="BodyText"/>
        <w:spacing w:line="256" w:lineRule="auto" w:before="22"/>
        <w:ind w:left="1860" w:hanging="550"/>
      </w:pPr>
      <w:r>
        <w:rPr>
          <w:spacing w:val="-2"/>
        </w:rPr>
        <w:t>（e）促進身心障礙者於勞動市場上之就業機會與職涯提升，協助身心障礙者尋找、獲得、保持及重返就業；</w:t>
      </w:r>
    </w:p>
    <w:p>
      <w:pPr>
        <w:pStyle w:val="BodyText"/>
        <w:ind w:left="1310" w:right="0"/>
      </w:pPr>
      <w:r>
        <w:rPr/>
        <w:t>（f）</w:t>
      </w:r>
      <w:r>
        <w:rPr>
          <w:spacing w:val="-1"/>
        </w:rPr>
        <w:t>促進自營作業、創業經營、開展合作社與個人創業之機會</w:t>
      </w:r>
    </w:p>
    <w:p>
      <w:pPr>
        <w:spacing w:before="22"/>
        <w:ind w:left="1860" w:right="0" w:firstLine="0"/>
        <w:jc w:val="left"/>
        <w:rPr>
          <w:sz w:val="22"/>
        </w:rPr>
      </w:pPr>
      <w:r>
        <w:rPr>
          <w:sz w:val="22"/>
        </w:rPr>
        <w:t>；</w:t>
      </w:r>
    </w:p>
    <w:p>
      <w:pPr>
        <w:pStyle w:val="BodyText"/>
        <w:spacing w:before="22"/>
        <w:ind w:left="1310" w:right="0"/>
      </w:pPr>
      <w:r>
        <w:rPr/>
        <w:t>（g）</w:t>
      </w:r>
      <w:r>
        <w:rPr>
          <w:spacing w:val="-1"/>
        </w:rPr>
        <w:t>於公部門僱用身心障礙者；</w:t>
      </w:r>
    </w:p>
    <w:p>
      <w:pPr>
        <w:pStyle w:val="BodyText"/>
        <w:spacing w:line="256" w:lineRule="auto" w:before="23"/>
        <w:ind w:left="1860" w:hanging="550"/>
      </w:pPr>
      <w:r>
        <w:rPr>
          <w:spacing w:val="-2"/>
        </w:rPr>
        <w:t>（h）以適當政策與措施，促進私部門僱用身心障礙者，得包括平權行動方案、提供誘因及其他措施；</w:t>
      </w:r>
    </w:p>
    <w:p>
      <w:pPr>
        <w:pStyle w:val="BodyText"/>
        <w:spacing w:before="1"/>
        <w:ind w:left="1310" w:right="0"/>
      </w:pPr>
      <w:r>
        <w:rPr/>
        <w:t>（i）</w:t>
      </w:r>
      <w:r>
        <w:rPr>
          <w:spacing w:val="-1"/>
        </w:rPr>
        <w:t>確保於工作場所為身心障礙者提供合理之空間安排；</w:t>
      </w:r>
    </w:p>
    <w:p>
      <w:pPr>
        <w:pStyle w:val="BodyText"/>
        <w:spacing w:before="23"/>
        <w:ind w:left="1310" w:right="0"/>
      </w:pPr>
      <w:r>
        <w:rPr/>
        <w:t>（j）</w:t>
      </w:r>
      <w:r>
        <w:rPr>
          <w:spacing w:val="-1"/>
        </w:rPr>
        <w:t>促進身心障礙者於開放之勞動市場上獲得工作經驗；</w:t>
      </w:r>
    </w:p>
    <w:p>
      <w:pPr>
        <w:pStyle w:val="BodyText"/>
        <w:spacing w:line="256" w:lineRule="auto" w:before="22"/>
        <w:ind w:left="1860" w:hanging="550"/>
      </w:pPr>
      <w:r>
        <w:rPr>
          <w:spacing w:val="-2"/>
        </w:rPr>
        <w:t>（k）促進身心障礙者之職業與專業重建，保留工作和重返工作</w:t>
      </w:r>
      <w:r>
        <w:rPr>
          <w:spacing w:val="-4"/>
        </w:rPr>
        <w:t>方案。</w:t>
      </w:r>
    </w:p>
    <w:p>
      <w:pPr>
        <w:pStyle w:val="BodyText"/>
        <w:spacing w:line="256" w:lineRule="auto"/>
        <w:ind w:hanging="220"/>
      </w:pPr>
      <w:r>
        <w:rPr>
          <w:spacing w:val="-2"/>
        </w:rPr>
        <w:t>2.締約國應確保身心障礙者不處於奴隸或奴役狀態，並在與其他人平等基礎上受到保障，不被強迫或強制勞動。</w:t>
      </w:r>
    </w:p>
    <w:p>
      <w:pPr>
        <w:pStyle w:val="BodyText"/>
        <w:tabs>
          <w:tab w:pos="1419" w:val="left" w:leader="none"/>
        </w:tabs>
        <w:spacing w:line="256" w:lineRule="auto" w:before="1"/>
        <w:ind w:left="1420" w:hanging="1100"/>
      </w:pPr>
      <w:r>
        <w:rPr/>
        <w:t>第 28 條</w:t>
        <w:tab/>
      </w:r>
      <w:r>
        <w:rPr>
          <w:spacing w:val="-2"/>
        </w:rPr>
        <w:t>適足之生活水準與社會保障</w:t>
      </w:r>
      <w:r>
        <w:rPr>
          <w:spacing w:val="80"/>
          <w:w w:val="150"/>
        </w:rPr>
        <w:t>             </w:t>
      </w:r>
      <w:r>
        <w:rPr/>
        <w:t>1.締約國承認身心障礙者就其自身及其家屬獲得適足生活水</w:t>
      </w:r>
      <w:r>
        <w:rPr>
          <w:spacing w:val="-10"/>
        </w:rPr>
        <w:t>準</w:t>
      </w:r>
    </w:p>
    <w:p>
      <w:pPr>
        <w:pStyle w:val="BodyText"/>
        <w:spacing w:line="256" w:lineRule="auto"/>
        <w:jc w:val="both"/>
      </w:pPr>
      <w:r>
        <w:rPr>
          <w:spacing w:val="-2"/>
        </w:rPr>
        <w:t>之權利，包括適足之食物、衣物、住宅，及持續改善生活條件；並應採取適當步驟，防護與促進身心障礙者於不受歧視之基礎上實現該等權利。</w:t>
      </w:r>
    </w:p>
    <w:p>
      <w:pPr>
        <w:pStyle w:val="BodyText"/>
        <w:spacing w:line="256" w:lineRule="auto"/>
        <w:ind w:hanging="220"/>
        <w:jc w:val="both"/>
      </w:pPr>
      <w:r>
        <w:rPr>
          <w:spacing w:val="-2"/>
        </w:rPr>
        <w:t>2.締約國承認身心障礙者享有社會保障之權利，及於身心障礙者不受歧視之基礎上享有該等權利；並應採取適當步驟，防護及促進該等權利之實現，包括採取下列措施：</w:t>
      </w:r>
    </w:p>
    <w:p>
      <w:pPr>
        <w:pStyle w:val="BodyText"/>
        <w:spacing w:line="256" w:lineRule="auto" w:before="3"/>
        <w:ind w:left="1860" w:hanging="550"/>
        <w:jc w:val="both"/>
      </w:pPr>
      <w:r>
        <w:rPr>
          <w:spacing w:val="-2"/>
        </w:rPr>
        <w:t>（a）確保身心障礙者平等地獲得潔淨供水服務，並確保其獲得適當與可負擔之服務、用具及其他協助，以滿足與身心障礙有關之需求；</w:t>
      </w:r>
    </w:p>
    <w:p>
      <w:pPr>
        <w:pStyle w:val="BodyText"/>
        <w:spacing w:line="256" w:lineRule="auto"/>
        <w:ind w:left="1860" w:hanging="550"/>
      </w:pPr>
      <w:r>
        <w:rPr>
          <w:spacing w:val="-2"/>
        </w:rPr>
        <w:t>（b）確保身心障礙者，尤其是身心障礙婦女、女孩與年長者，利用社會保障方案及降低貧窮方案；</w:t>
      </w:r>
    </w:p>
    <w:p>
      <w:pPr>
        <w:pStyle w:val="BodyText"/>
        <w:spacing w:line="256" w:lineRule="auto"/>
        <w:ind w:left="1860" w:hanging="550"/>
        <w:jc w:val="both"/>
      </w:pPr>
      <w:r>
        <w:rPr>
          <w:spacing w:val="-2"/>
        </w:rPr>
        <w:t>（c）確保生活貧困之身心障礙者及其家屬，在與身心障礙有關之費用支出，包括適足之培訓、諮詢、財務協助及喘息服務方面，可以獲得國家援助；</w:t>
      </w:r>
    </w:p>
    <w:p>
      <w:pPr>
        <w:pStyle w:val="BodyText"/>
        <w:ind w:left="1310" w:right="0"/>
      </w:pPr>
      <w:r>
        <w:rPr/>
        <w:t>（d）</w:t>
      </w:r>
      <w:r>
        <w:rPr>
          <w:spacing w:val="-1"/>
        </w:rPr>
        <w:t>確保身心障礙者參加公共住宅方案；</w:t>
      </w:r>
    </w:p>
    <w:p>
      <w:pPr>
        <w:pStyle w:val="BodyText"/>
        <w:tabs>
          <w:tab w:pos="1419" w:val="left" w:leader="none"/>
        </w:tabs>
        <w:spacing w:line="256" w:lineRule="auto" w:before="22"/>
        <w:ind w:left="320" w:right="2499" w:firstLine="990"/>
      </w:pPr>
      <w:r>
        <w:rPr>
          <w:spacing w:val="-2"/>
        </w:rPr>
        <w:t>（e）確保身心障礙者平等參加退休福利與方案</w:t>
      </w:r>
      <w:r>
        <w:rPr>
          <w:spacing w:val="-2"/>
        </w:rPr>
        <w:t>。</w:t>
      </w:r>
      <w:r>
        <w:rPr/>
        <w:t>第 29 條</w:t>
        <w:tab/>
      </w:r>
      <w:r>
        <w:rPr>
          <w:spacing w:val="-2"/>
        </w:rPr>
        <w:t>參與政治與公共生活</w:t>
      </w:r>
    </w:p>
    <w:p>
      <w:pPr>
        <w:pStyle w:val="BodyText"/>
        <w:spacing w:line="256" w:lineRule="auto"/>
        <w:ind w:left="1420"/>
      </w:pPr>
      <w:r>
        <w:rPr>
          <w:spacing w:val="-2"/>
        </w:rPr>
        <w:t>締約國應保障身心障礙者享有政治權利，及有機會在與其他人平等基礎上享有該等權利，並應承諾：</w:t>
      </w:r>
    </w:p>
    <w:p>
      <w:pPr>
        <w:pStyle w:val="BodyText"/>
        <w:spacing w:line="256" w:lineRule="auto"/>
        <w:ind w:hanging="550"/>
        <w:jc w:val="both"/>
      </w:pPr>
      <w:r>
        <w:rPr>
          <w:spacing w:val="-2"/>
        </w:rPr>
        <w:t>（a）確保身心障礙者能夠在與其他人平等基礎上，直接或透過自由選擇之代表，有效與充分地參與政治及公共生活，包括確保身心障礙者享有選舉與被選舉之權利及機會，其中包括，採取下列措施：</w:t>
      </w:r>
    </w:p>
    <w:p>
      <w:pPr>
        <w:pStyle w:val="BodyText"/>
        <w:spacing w:before="3"/>
        <w:ind w:left="1310" w:right="0"/>
      </w:pPr>
      <w:r>
        <w:rPr/>
        <w:t>（i）</w:t>
      </w:r>
      <w:r>
        <w:rPr>
          <w:spacing w:val="-1"/>
        </w:rPr>
        <w:t>確保投票程序、設施與材料適當、無障礙及易懂易用；</w:t>
      </w:r>
    </w:p>
    <w:p>
      <w:pPr>
        <w:pStyle w:val="BodyText"/>
        <w:spacing w:line="256" w:lineRule="auto" w:before="22"/>
        <w:ind w:left="1860" w:hanging="660"/>
        <w:jc w:val="both"/>
      </w:pPr>
      <w:r>
        <w:rPr>
          <w:spacing w:val="-2"/>
        </w:rPr>
        <w:t>（ii）保障身心障礙者之投票權利，使其得以於各種選舉或公投中不受威嚇地採用無記名方式投票及參選，於各級政府有效地擔任公職與執行所有公共職務，並於適當情況下促進輔助與新技術之使用；</w:t>
      </w:r>
    </w:p>
    <w:p>
      <w:pPr>
        <w:pStyle w:val="BodyText"/>
        <w:spacing w:line="256" w:lineRule="auto" w:before="4"/>
        <w:ind w:left="1860" w:hanging="770"/>
        <w:jc w:val="both"/>
      </w:pPr>
      <w:r>
        <w:rPr>
          <w:spacing w:val="-2"/>
        </w:rPr>
        <w:t>（iii）保障身心障礙者作為選民，得以自由表達意願，及為此目的，於必要情形，根據其要求，允許由其選擇之人協助投</w:t>
      </w:r>
      <w:r>
        <w:rPr>
          <w:spacing w:val="-6"/>
        </w:rPr>
        <w:t>票；</w:t>
      </w:r>
    </w:p>
    <w:p>
      <w:pPr>
        <w:pStyle w:val="BodyText"/>
        <w:ind w:left="1083" w:right="1172"/>
        <w:jc w:val="center"/>
      </w:pPr>
      <w:r>
        <w:rPr/>
        <w:t>（b）</w:t>
      </w:r>
      <w:r>
        <w:rPr>
          <w:spacing w:val="-1"/>
        </w:rPr>
        <w:t>積極促進環境，使身心障礙者得於不受歧視及與其他人平等</w:t>
      </w:r>
    </w:p>
    <w:p>
      <w:pPr>
        <w:spacing w:after="0"/>
        <w:jc w:val="center"/>
        <w:sectPr>
          <w:pgSz w:w="11900" w:h="16840"/>
          <w:pgMar w:top="480" w:bottom="280" w:left="1680" w:right="1680"/>
        </w:sectPr>
      </w:pPr>
    </w:p>
    <w:p>
      <w:pPr>
        <w:pStyle w:val="BodyText"/>
        <w:spacing w:line="256" w:lineRule="auto" w:before="30"/>
      </w:pPr>
      <w:r>
        <w:rPr>
          <w:spacing w:val="-2"/>
        </w:rPr>
        <w:t>基礎上有效與充分地參與公共事務之處理，並鼓勵其參與公共事務，包括：</w:t>
      </w:r>
    </w:p>
    <w:p>
      <w:pPr>
        <w:pStyle w:val="BodyText"/>
        <w:spacing w:line="256" w:lineRule="auto" w:before="1"/>
        <w:ind w:left="1860" w:hanging="550"/>
      </w:pPr>
      <w:r>
        <w:rPr>
          <w:spacing w:val="-2"/>
        </w:rPr>
        <w:t>（i）參與關於本國公共與政治生活之非政府組織及團體，及參加政黨之活動與行政事務；</w:t>
      </w:r>
    </w:p>
    <w:p>
      <w:pPr>
        <w:pStyle w:val="BodyText"/>
        <w:spacing w:line="256" w:lineRule="auto"/>
        <w:ind w:left="1860" w:hanging="660"/>
      </w:pPr>
      <w:r>
        <w:rPr>
          <w:spacing w:val="-2"/>
        </w:rPr>
        <w:t>（ii）成立及加入身心障礙者組織，於國際性、全國性、區域性及地方性各層級代表身心障礙者。</w:t>
      </w:r>
    </w:p>
    <w:p>
      <w:pPr>
        <w:pStyle w:val="BodyText"/>
        <w:tabs>
          <w:tab w:pos="1419" w:val="left" w:leader="none"/>
        </w:tabs>
        <w:spacing w:line="256" w:lineRule="auto"/>
        <w:ind w:left="1420" w:hanging="1100"/>
      </w:pPr>
      <w:r>
        <w:rPr/>
        <w:t>第 30 條</w:t>
        <w:tab/>
      </w:r>
      <w:r>
        <w:rPr>
          <w:spacing w:val="-2"/>
        </w:rPr>
        <w:t>參與文化生活、康樂、休閒與體育活動</w:t>
      </w:r>
      <w:r>
        <w:rPr>
          <w:spacing w:val="80"/>
          <w:w w:val="150"/>
        </w:rPr>
        <w:t>         </w:t>
      </w:r>
      <w:r>
        <w:rPr>
          <w:spacing w:val="-2"/>
        </w:rPr>
        <w:t>1.締約國承認身心障礙者有權在與其他人平等基礎上參與文化</w:t>
      </w:r>
    </w:p>
    <w:p>
      <w:pPr>
        <w:pStyle w:val="BodyText"/>
        <w:spacing w:before="1"/>
        <w:ind w:right="0"/>
      </w:pPr>
      <w:r>
        <w:rPr>
          <w:spacing w:val="-1"/>
        </w:rPr>
        <w:t>生活，並應採取所有適當措施，確保身心障礙者：</w:t>
      </w:r>
    </w:p>
    <w:p>
      <w:pPr>
        <w:pStyle w:val="BodyText"/>
        <w:spacing w:before="23"/>
        <w:ind w:left="1310" w:right="0"/>
      </w:pPr>
      <w:r>
        <w:rPr/>
        <w:t>（a）</w:t>
      </w:r>
      <w:r>
        <w:rPr>
          <w:spacing w:val="-1"/>
        </w:rPr>
        <w:t>享有以無障礙格式提供之文化素材；</w:t>
      </w:r>
    </w:p>
    <w:p>
      <w:pPr>
        <w:pStyle w:val="BodyText"/>
        <w:spacing w:line="256" w:lineRule="auto" w:before="22"/>
        <w:ind w:left="1860" w:hanging="550"/>
      </w:pPr>
      <w:r>
        <w:rPr>
          <w:spacing w:val="-2"/>
        </w:rPr>
        <w:t>（b）享有以無障礙格式提供之電視節目、影片、戲劇及其他文</w:t>
      </w:r>
      <w:r>
        <w:rPr>
          <w:spacing w:val="-4"/>
        </w:rPr>
        <w:t>化活動；</w:t>
      </w:r>
    </w:p>
    <w:p>
      <w:pPr>
        <w:pStyle w:val="BodyText"/>
        <w:spacing w:line="256" w:lineRule="auto" w:before="1"/>
        <w:ind w:left="1860" w:hanging="550"/>
        <w:jc w:val="both"/>
      </w:pPr>
      <w:r>
        <w:rPr>
          <w:spacing w:val="-2"/>
        </w:rPr>
        <w:t>（c）享有進入文化表演或文化服務場所，例如劇院、博物館、電影院、圖書館、旅遊服務場所，並儘可能地享有進入於本國文化中具有重要意義之紀念建築與遺址。</w:t>
      </w:r>
    </w:p>
    <w:p>
      <w:pPr>
        <w:pStyle w:val="BodyText"/>
        <w:spacing w:line="256" w:lineRule="auto" w:before="3"/>
        <w:ind w:hanging="220"/>
        <w:jc w:val="both"/>
      </w:pPr>
      <w:r>
        <w:rPr>
          <w:spacing w:val="-2"/>
        </w:rPr>
        <w:t>2.締約國應採取適當措施，使身心障礙者能有機會發展與利用其創意、藝術及知識方面之潛能，不僅基於自身之利益，更為充實社會。</w:t>
      </w:r>
    </w:p>
    <w:p>
      <w:pPr>
        <w:pStyle w:val="BodyText"/>
        <w:spacing w:line="256" w:lineRule="auto"/>
        <w:ind w:hanging="220"/>
        <w:jc w:val="both"/>
      </w:pPr>
      <w:r>
        <w:rPr>
          <w:spacing w:val="-2"/>
        </w:rPr>
        <w:t>3.締約國應採取所有適當步驟，根據國際法，確保保障智慧財產權之法律不構成不合理或歧視性障礙，阻礙身心障礙者獲得文化素材。</w:t>
      </w:r>
    </w:p>
    <w:p>
      <w:pPr>
        <w:pStyle w:val="BodyText"/>
        <w:spacing w:line="256" w:lineRule="auto" w:before="3"/>
        <w:ind w:hanging="220"/>
      </w:pPr>
      <w:r>
        <w:rPr>
          <w:spacing w:val="-2"/>
        </w:rPr>
        <w:t>4.身心障礙者應有權利，在與其他人平等基礎上，被承認及支持其特有之文化與語言認同，包括手語及聾人文化。</w:t>
      </w:r>
    </w:p>
    <w:p>
      <w:pPr>
        <w:pStyle w:val="BodyText"/>
        <w:spacing w:line="256" w:lineRule="auto" w:before="1"/>
        <w:ind w:hanging="220"/>
      </w:pPr>
      <w:r>
        <w:rPr>
          <w:spacing w:val="-2"/>
        </w:rPr>
        <w:t>5.著眼於使身心障礙者能夠在與其他人平等基礎上參加康樂、休閒與體育活動，締約國應採取下列適當措施：</w:t>
      </w:r>
    </w:p>
    <w:p>
      <w:pPr>
        <w:pStyle w:val="BodyText"/>
        <w:spacing w:line="256" w:lineRule="auto"/>
        <w:ind w:left="1860" w:hanging="550"/>
      </w:pPr>
      <w:r>
        <w:rPr>
          <w:spacing w:val="-2"/>
        </w:rPr>
        <w:t>（a）鼓勵與推廣身心障礙者儘可能充分地參加各種等級之主流體育活動；</w:t>
      </w:r>
    </w:p>
    <w:p>
      <w:pPr>
        <w:pStyle w:val="BodyText"/>
        <w:spacing w:line="256" w:lineRule="auto"/>
        <w:ind w:left="1860" w:hanging="550"/>
      </w:pPr>
      <w:r>
        <w:rPr>
          <w:spacing w:val="-2"/>
        </w:rPr>
        <w:t>（b）確保身心障礙者有機會組織、發展及參與身心障礙者特殊</w:t>
      </w:r>
      <w:r>
        <w:rPr>
          <w:spacing w:val="-1"/>
        </w:rPr>
        <w:t>之體育、康樂活動，並為此目的，在與其他人平等基礎上</w:t>
      </w:r>
    </w:p>
    <w:p>
      <w:pPr>
        <w:pStyle w:val="BodyText"/>
        <w:spacing w:before="1"/>
        <w:ind w:left="1860" w:right="0"/>
      </w:pPr>
      <w:r>
        <w:rPr>
          <w:spacing w:val="-1"/>
        </w:rPr>
        <w:t>，鼓勵提供適當之指導、培訓及資源；</w:t>
      </w:r>
    </w:p>
    <w:p>
      <w:pPr>
        <w:pStyle w:val="BodyText"/>
        <w:spacing w:before="23"/>
        <w:ind w:left="1310" w:right="0"/>
      </w:pPr>
      <w:r>
        <w:rPr/>
        <w:t>（c）</w:t>
      </w:r>
      <w:r>
        <w:rPr>
          <w:spacing w:val="-1"/>
        </w:rPr>
        <w:t>確保身心障礙者得以使用體育、康樂與旅遊場所；</w:t>
      </w:r>
    </w:p>
    <w:p>
      <w:pPr>
        <w:pStyle w:val="BodyText"/>
        <w:spacing w:line="256" w:lineRule="auto" w:before="22"/>
        <w:ind w:left="1860" w:hanging="550"/>
      </w:pPr>
      <w:r>
        <w:rPr>
          <w:spacing w:val="-2"/>
        </w:rPr>
        <w:t>（d）確保身心障礙兒童與其他兒童平等地參加遊戲、康樂與休閒及體育活動，包括於學校體系內之該等活動；</w:t>
      </w:r>
    </w:p>
    <w:p>
      <w:pPr>
        <w:pStyle w:val="BodyText"/>
        <w:ind w:left="1310" w:right="0"/>
      </w:pPr>
      <w:r>
        <w:rPr/>
        <w:t>（e）</w:t>
      </w:r>
      <w:r>
        <w:rPr>
          <w:spacing w:val="-1"/>
        </w:rPr>
        <w:t>確保身心障礙者於康樂、旅遊、休閒與體育等活動籌組時</w:t>
      </w:r>
    </w:p>
    <w:p>
      <w:pPr>
        <w:pStyle w:val="BodyText"/>
        <w:tabs>
          <w:tab w:pos="1419" w:val="left" w:leader="none"/>
        </w:tabs>
        <w:spacing w:line="256" w:lineRule="auto" w:before="22"/>
        <w:ind w:left="320" w:right="4259" w:firstLine="1540"/>
      </w:pPr>
      <w:r>
        <w:rPr>
          <w:spacing w:val="-2"/>
        </w:rPr>
        <w:t>，獲得參與所需之服務</w:t>
      </w:r>
      <w:r>
        <w:rPr>
          <w:spacing w:val="-2"/>
        </w:rPr>
        <w:t>。</w:t>
      </w:r>
      <w:r>
        <w:rPr/>
        <w:t>第 31 條</w:t>
        <w:tab/>
      </w:r>
      <w:r>
        <w:rPr>
          <w:spacing w:val="-2"/>
        </w:rPr>
        <w:t>統計與資料收集</w:t>
      </w:r>
    </w:p>
    <w:p>
      <w:pPr>
        <w:pStyle w:val="BodyText"/>
        <w:spacing w:line="256" w:lineRule="auto" w:before="1"/>
        <w:ind w:hanging="220"/>
      </w:pPr>
      <w:r>
        <w:rPr>
          <w:spacing w:val="-2"/>
        </w:rPr>
        <w:t>1.締約國承諾收集適當之資訊，包括統計與研究資料，以利形</w:t>
      </w:r>
      <w:r>
        <w:rPr>
          <w:spacing w:val="-1"/>
        </w:rPr>
        <w:t>成與推動實踐本公約之政策。收集與保存該等資訊之過程應</w:t>
      </w:r>
    </w:p>
    <w:p>
      <w:pPr>
        <w:spacing w:before="2"/>
        <w:ind w:left="1640" w:right="0" w:firstLine="0"/>
        <w:jc w:val="left"/>
        <w:rPr>
          <w:sz w:val="22"/>
        </w:rPr>
      </w:pPr>
      <w:r>
        <w:rPr>
          <w:sz w:val="22"/>
        </w:rPr>
        <w:t>：</w:t>
      </w:r>
    </w:p>
    <w:p>
      <w:pPr>
        <w:pStyle w:val="BodyText"/>
        <w:spacing w:line="256" w:lineRule="auto" w:before="22"/>
        <w:ind w:left="1860" w:hanging="550"/>
      </w:pPr>
      <w:r>
        <w:rPr>
          <w:spacing w:val="-2"/>
        </w:rPr>
        <w:t>（a）遵行法定防護措施，包括資料保護之立法，確保隱密性與尊重身心障礙者之隱私；</w:t>
      </w:r>
    </w:p>
    <w:p>
      <w:pPr>
        <w:pStyle w:val="BodyText"/>
        <w:spacing w:line="256" w:lineRule="auto"/>
        <w:ind w:left="1860" w:hanging="550"/>
      </w:pPr>
      <w:r>
        <w:rPr>
          <w:spacing w:val="-2"/>
        </w:rPr>
        <w:t>（b）遵行保護人權與基本自由之國際公認規範及收集與使用統計資料之倫理原則。</w:t>
      </w:r>
    </w:p>
    <w:p>
      <w:pPr>
        <w:pStyle w:val="BodyText"/>
        <w:spacing w:line="256" w:lineRule="auto"/>
        <w:ind w:hanging="220"/>
        <w:jc w:val="both"/>
      </w:pPr>
      <w:r>
        <w:rPr>
          <w:spacing w:val="-2"/>
        </w:rPr>
        <w:t>2.依本條所收集之資訊應適當予以分類，用於協助評估本公約所定締約國義務之履行情況，並查明與指出身心障礙者於行使其權利時面臨之障礙。</w:t>
      </w:r>
    </w:p>
    <w:p>
      <w:pPr>
        <w:pStyle w:val="BodyText"/>
        <w:spacing w:line="256" w:lineRule="auto"/>
        <w:ind w:hanging="220"/>
      </w:pPr>
      <w:r>
        <w:rPr>
          <w:spacing w:val="-2"/>
        </w:rPr>
        <w:t>3.締約國應負有散播該等統計資料之責任，確保身心障礙者與其他人得以使用該等統計資料。</w:t>
      </w:r>
    </w:p>
    <w:p>
      <w:pPr>
        <w:spacing w:after="0" w:line="256" w:lineRule="auto"/>
        <w:sectPr>
          <w:pgSz w:w="11900" w:h="16840"/>
          <w:pgMar w:top="480" w:bottom="280" w:left="1680" w:right="1680"/>
        </w:sectPr>
      </w:pPr>
    </w:p>
    <w:p>
      <w:pPr>
        <w:pStyle w:val="BodyText"/>
        <w:spacing w:before="30"/>
        <w:ind w:left="320" w:right="0"/>
        <w:jc w:val="both"/>
      </w:pPr>
      <w:r>
        <w:rPr/>
        <w:t>第 32 條</w:t>
      </w:r>
      <w:r>
        <w:rPr>
          <w:spacing w:val="55"/>
          <w:w w:val="150"/>
        </w:rPr>
        <w:t> </w:t>
      </w:r>
      <w:r>
        <w:rPr>
          <w:spacing w:val="-3"/>
        </w:rPr>
        <w:t>國際合作</w:t>
      </w:r>
    </w:p>
    <w:p>
      <w:pPr>
        <w:pStyle w:val="BodyText"/>
        <w:spacing w:line="256" w:lineRule="auto" w:before="22"/>
        <w:ind w:hanging="220"/>
        <w:jc w:val="both"/>
      </w:pPr>
      <w:r>
        <w:rPr>
          <w:spacing w:val="-2"/>
        </w:rPr>
        <w:t>1.締約國體認到國際合作及其推廣對支援國家為實現本公約宗旨與目的所作出努力之重要性，並將於此方面，於雙邊及多邊國家間採取適當及有效措施，及於適當情況下，與相關國際、區域組織及公民社會，特別是與身心障礙者組織結成夥伴關係。其中得包括如下：</w:t>
      </w:r>
    </w:p>
    <w:p>
      <w:pPr>
        <w:pStyle w:val="BodyText"/>
        <w:spacing w:line="256" w:lineRule="auto" w:before="4"/>
        <w:ind w:left="1860" w:hanging="550"/>
      </w:pPr>
      <w:r>
        <w:rPr>
          <w:spacing w:val="-2"/>
        </w:rPr>
        <w:t>（a）確保包含並便利身心障礙者參與國際合作，包括國際發展</w:t>
      </w:r>
      <w:r>
        <w:rPr>
          <w:spacing w:val="-4"/>
        </w:rPr>
        <w:t>方案；</w:t>
      </w:r>
    </w:p>
    <w:p>
      <w:pPr>
        <w:pStyle w:val="BodyText"/>
        <w:spacing w:line="256" w:lineRule="auto"/>
        <w:ind w:left="1860" w:hanging="550"/>
      </w:pPr>
      <w:r>
        <w:rPr>
          <w:spacing w:val="-2"/>
        </w:rPr>
        <w:t>（b）促進與支援能力建構，包括透過交流與分享資訊、經驗、培訓方案及最佳範例等；</w:t>
      </w:r>
    </w:p>
    <w:p>
      <w:pPr>
        <w:pStyle w:val="BodyText"/>
        <w:spacing w:before="1"/>
        <w:ind w:left="1310" w:right="0"/>
      </w:pPr>
      <w:r>
        <w:rPr/>
        <w:t>（c）</w:t>
      </w:r>
      <w:r>
        <w:rPr>
          <w:spacing w:val="-1"/>
        </w:rPr>
        <w:t>促進研究方面之合作，及科學與技術知識之近用；</w:t>
      </w:r>
    </w:p>
    <w:p>
      <w:pPr>
        <w:pStyle w:val="BodyText"/>
        <w:spacing w:line="256" w:lineRule="auto" w:before="23"/>
        <w:ind w:left="1860" w:hanging="550"/>
      </w:pPr>
      <w:r>
        <w:rPr>
          <w:spacing w:val="-2"/>
        </w:rPr>
        <w:t>（d）適當提供技術與經濟援助，包括促進無障礙技術及輔助技術之近用與分享，以及透過技術轉讓等。</w:t>
      </w:r>
    </w:p>
    <w:p>
      <w:pPr>
        <w:pStyle w:val="BodyText"/>
        <w:tabs>
          <w:tab w:pos="1419" w:val="left" w:leader="none"/>
        </w:tabs>
        <w:spacing w:line="256" w:lineRule="auto" w:before="1"/>
        <w:ind w:left="320" w:firstLine="1100"/>
      </w:pPr>
      <w:r>
        <w:rPr>
          <w:spacing w:val="-2"/>
        </w:rPr>
        <w:t>2.本條之規定不妨害各締約國履行其於本公約所承擔之義務</w:t>
      </w:r>
      <w:r>
        <w:rPr>
          <w:spacing w:val="-2"/>
        </w:rPr>
        <w:t>。</w:t>
      </w:r>
      <w:r>
        <w:rPr/>
        <w:t>第 33 條</w:t>
        <w:tab/>
      </w:r>
      <w:r>
        <w:rPr>
          <w:spacing w:val="-2"/>
        </w:rPr>
        <w:t>國家實施與監測</w:t>
      </w:r>
    </w:p>
    <w:p>
      <w:pPr>
        <w:pStyle w:val="BodyText"/>
        <w:spacing w:line="256" w:lineRule="auto"/>
        <w:ind w:hanging="220"/>
        <w:jc w:val="both"/>
      </w:pPr>
      <w:r>
        <w:rPr>
          <w:spacing w:val="-2"/>
        </w:rPr>
        <w:t>1.締約國應依其組織體制，就有關實施本公約之事項，於政府內指定一個或多個協調中心，並應適當考慮於政府內設立或</w:t>
      </w:r>
      <w:r>
        <w:rPr>
          <w:spacing w:val="-1"/>
        </w:rPr>
        <w:t>指定一協調機制，以促進不同部門及不同層級間之有關行動</w:t>
      </w:r>
    </w:p>
    <w:p>
      <w:pPr>
        <w:pStyle w:val="BodyText"/>
        <w:spacing w:line="256" w:lineRule="auto"/>
        <w:ind w:left="1420" w:firstLine="220"/>
      </w:pPr>
      <w:r>
        <w:rPr>
          <w:spacing w:val="-10"/>
        </w:rPr>
        <w:t>。</w:t>
      </w:r>
      <w:r>
        <w:rPr>
          <w:spacing w:val="80"/>
          <w:w w:val="150"/>
        </w:rPr>
        <w:t>                      </w:t>
      </w:r>
      <w:r>
        <w:rPr/>
        <w:t>2.</w:t>
      </w:r>
      <w:r>
        <w:rPr>
          <w:spacing w:val="-1"/>
        </w:rPr>
        <w:t>締約國應依其法律及行政體制，適當地於國內維持、加強、</w:t>
      </w:r>
    </w:p>
    <w:p>
      <w:pPr>
        <w:pStyle w:val="BodyText"/>
        <w:spacing w:line="256" w:lineRule="auto"/>
        <w:jc w:val="both"/>
      </w:pPr>
      <w:r>
        <w:rPr>
          <w:spacing w:val="-2"/>
        </w:rPr>
        <w:t>指定或設立一架構，包括一個或多個獨立機制，以促進、保障與監測本公約之實施。於指定或建立此一機制時，締約國應考慮到保障與促進人權之國家機構之地位及功能的相關原</w:t>
      </w:r>
      <w:r>
        <w:rPr>
          <w:spacing w:val="-6"/>
        </w:rPr>
        <w:t>則。</w:t>
      </w:r>
    </w:p>
    <w:p>
      <w:pPr>
        <w:pStyle w:val="BodyText"/>
        <w:spacing w:line="256" w:lineRule="auto" w:before="3"/>
        <w:ind w:hanging="220"/>
      </w:pPr>
      <w:r>
        <w:rPr>
          <w:spacing w:val="-2"/>
        </w:rPr>
        <w:t>3.公民社會，特別是身心障礙者及其代表組織，應涉入並充分參與監測程序。</w:t>
      </w:r>
    </w:p>
    <w:p>
      <w:pPr>
        <w:pStyle w:val="BodyText"/>
        <w:tabs>
          <w:tab w:pos="1419" w:val="left" w:leader="none"/>
        </w:tabs>
        <w:ind w:left="320" w:right="0"/>
      </w:pPr>
      <w:r>
        <w:rPr/>
        <w:t>第 34 </w:t>
      </w:r>
      <w:r>
        <w:rPr>
          <w:spacing w:val="-10"/>
        </w:rPr>
        <w:t>條</w:t>
      </w:r>
      <w:r>
        <w:rPr/>
        <w:tab/>
        <w:t>身心障礙者權利委員</w:t>
      </w:r>
      <w:r>
        <w:rPr>
          <w:spacing w:val="-10"/>
        </w:rPr>
        <w:t>會</w:t>
      </w:r>
    </w:p>
    <w:p>
      <w:pPr>
        <w:pStyle w:val="BodyText"/>
        <w:spacing w:line="256" w:lineRule="auto" w:before="22"/>
        <w:ind w:hanging="220"/>
      </w:pPr>
      <w:r>
        <w:rPr>
          <w:spacing w:val="-2"/>
        </w:rPr>
        <w:t>1.（聯合國）應設立一個身心障礙者權利委員會（以下稱委員會），履行以下規定之職能。</w:t>
      </w:r>
    </w:p>
    <w:p>
      <w:pPr>
        <w:pStyle w:val="BodyText"/>
        <w:spacing w:line="256" w:lineRule="auto"/>
        <w:ind w:hanging="220"/>
        <w:jc w:val="both"/>
      </w:pPr>
      <w:r>
        <w:rPr>
          <w:spacing w:val="-2"/>
        </w:rPr>
        <w:t>2.於本公約生效時，委員會應由十二名專家組成。於另有六十個國家批准或加入公約後，委員會應增加六名成員，以達到十八名成員之最高限額。</w:t>
      </w:r>
    </w:p>
    <w:p>
      <w:pPr>
        <w:pStyle w:val="BodyText"/>
        <w:spacing w:line="256" w:lineRule="auto"/>
        <w:ind w:hanging="220"/>
        <w:jc w:val="both"/>
      </w:pPr>
      <w:r>
        <w:rPr>
          <w:spacing w:val="-2"/>
        </w:rPr>
        <w:t>3.委員會成員應以個人身分任職，品德高尚，於本公約所涉領域具有公認之能力與經驗。締約國於提名候選人時，請適當</w:t>
      </w:r>
      <w:r>
        <w:rPr/>
        <w:t>考慮本公約第 4 條第 3 項之規定。</w:t>
      </w:r>
    </w:p>
    <w:p>
      <w:pPr>
        <w:pStyle w:val="BodyText"/>
        <w:spacing w:line="256" w:lineRule="auto" w:before="3"/>
        <w:ind w:hanging="220"/>
        <w:jc w:val="both"/>
      </w:pPr>
      <w:r>
        <w:rPr>
          <w:spacing w:val="-2"/>
        </w:rPr>
        <w:t>4.委員會成員由締約國選舉，選舉須顧及地域分配之公平，不同文化形式及主要法律體系之代表性，成員性別之均衡性及身心障礙者專家參與。</w:t>
      </w:r>
    </w:p>
    <w:p>
      <w:pPr>
        <w:pStyle w:val="BodyText"/>
        <w:spacing w:line="256" w:lineRule="auto"/>
        <w:ind w:hanging="220"/>
        <w:jc w:val="both"/>
      </w:pPr>
      <w:r>
        <w:rPr>
          <w:spacing w:val="-2"/>
        </w:rPr>
        <w:t>5.委員會成員應於聯合國秘書長召集之締約國會議上，依締約國提名之各國候選人名單，以無記名投票之方式選出。該等會議以三分之二之締約國構成法定人數，得票最多並獲得出席參加表決之締約國代表之絕對多數票者，當選為委員會成</w:t>
      </w:r>
      <w:r>
        <w:rPr>
          <w:spacing w:val="-6"/>
        </w:rPr>
        <w:t>員。</w:t>
      </w:r>
    </w:p>
    <w:p>
      <w:pPr>
        <w:pStyle w:val="BodyText"/>
        <w:spacing w:line="256" w:lineRule="auto" w:before="4"/>
        <w:ind w:hanging="220"/>
        <w:jc w:val="both"/>
      </w:pPr>
      <w:r>
        <w:rPr>
          <w:spacing w:val="-2"/>
        </w:rPr>
        <w:t>6.首次選舉至遲應於本公約生效之日後六個月內舉行。聯合國秘書長至遲應於每次選舉日前四個月，函請締約國於兩個月內遞交提名人選。秘書長隨後應按英文字母次序編列全體被提名人名單，註明提名締約國，分送本公約締約國。</w:t>
      </w:r>
    </w:p>
    <w:p>
      <w:pPr>
        <w:pStyle w:val="BodyText"/>
        <w:spacing w:before="3"/>
        <w:ind w:left="1083" w:right="843"/>
        <w:jc w:val="center"/>
      </w:pPr>
      <w:r>
        <w:rPr/>
        <w:t>7.</w:t>
      </w:r>
      <w:r>
        <w:rPr>
          <w:spacing w:val="-1"/>
        </w:rPr>
        <w:t>當選之委員會成員任期四年，有資格連選連任一次。但於第</w:t>
      </w:r>
    </w:p>
    <w:p>
      <w:pPr>
        <w:spacing w:after="0"/>
        <w:jc w:val="center"/>
        <w:sectPr>
          <w:pgSz w:w="11900" w:h="16840"/>
          <w:pgMar w:top="480" w:bottom="280" w:left="1680" w:right="1680"/>
        </w:sectPr>
      </w:pPr>
    </w:p>
    <w:p>
      <w:pPr>
        <w:pStyle w:val="BodyText"/>
        <w:spacing w:line="256" w:lineRule="auto" w:before="30"/>
        <w:jc w:val="both"/>
      </w:pPr>
      <w:r>
        <w:rPr>
          <w:spacing w:val="-2"/>
        </w:rPr>
        <w:t>一次選舉當選之成員中，六名成員之任期應於二年後屆滿；</w:t>
      </w:r>
      <w:r>
        <w:rPr>
          <w:spacing w:val="-4"/>
        </w:rPr>
        <w:t>本條第 </w:t>
      </w:r>
      <w:r>
        <w:rPr/>
        <w:t>5 項所述會議之主席應於第一次選舉後，立即抽籤</w:t>
      </w:r>
      <w:r>
        <w:rPr>
          <w:spacing w:val="-2"/>
        </w:rPr>
        <w:t>決定此六名成員。</w:t>
      </w:r>
    </w:p>
    <w:p>
      <w:pPr>
        <w:pStyle w:val="BodyText"/>
        <w:spacing w:line="256" w:lineRule="auto"/>
        <w:ind w:hanging="220"/>
      </w:pPr>
      <w:r>
        <w:rPr>
          <w:spacing w:val="-2"/>
        </w:rPr>
        <w:t>8.委員會另外六名成員之選舉應依照本條之相關規定，於定期選舉時舉行。</w:t>
      </w:r>
    </w:p>
    <w:p>
      <w:pPr>
        <w:pStyle w:val="BodyText"/>
        <w:spacing w:line="256" w:lineRule="auto"/>
        <w:ind w:hanging="220"/>
        <w:jc w:val="both"/>
      </w:pPr>
      <w:r>
        <w:rPr>
          <w:spacing w:val="-2"/>
        </w:rPr>
        <w:t>9.如委員會成員死亡或辭職或因任何其他理由而宣稱無法繼續履行其職責，提名該成員之締約國應指定一名具備本條相關規定所列資格並符合有關要求之專家，完成所餘任期。</w:t>
      </w:r>
    </w:p>
    <w:p>
      <w:pPr>
        <w:pStyle w:val="BodyText"/>
        <w:ind w:left="1083" w:right="3812"/>
        <w:jc w:val="center"/>
      </w:pPr>
      <w:r>
        <w:rPr/>
        <w:t>10.</w:t>
      </w:r>
      <w:r>
        <w:rPr>
          <w:spacing w:val="-1"/>
        </w:rPr>
        <w:t>委員會應自行制定議事規則。</w:t>
      </w:r>
    </w:p>
    <w:p>
      <w:pPr>
        <w:pStyle w:val="BodyText"/>
        <w:spacing w:line="256" w:lineRule="auto" w:before="23"/>
        <w:ind w:left="1310"/>
        <w:jc w:val="center"/>
      </w:pPr>
      <w:r>
        <w:rPr>
          <w:spacing w:val="-2"/>
        </w:rPr>
        <w:t>11.聯合國秘書長應為委員會有效履行本公約規定之職能，提供必要之工作人員與設備，並應召開委員會之首次會議。</w:t>
      </w:r>
      <w:r>
        <w:rPr>
          <w:spacing w:val="80"/>
        </w:rPr>
        <w:t>   </w:t>
      </w:r>
      <w:r>
        <w:rPr>
          <w:spacing w:val="-2"/>
        </w:rPr>
        <w:t>12.顧及委員會責任重大，經聯合國大會核准，本公約設立之委員會成員，應按大會所定條件，從聯合國資源領取薪酬。</w:t>
      </w:r>
      <w:r>
        <w:rPr>
          <w:spacing w:val="80"/>
        </w:rPr>
        <w:t>  </w:t>
      </w:r>
      <w:r>
        <w:rPr>
          <w:spacing w:val="-2"/>
        </w:rPr>
        <w:t>13.委員會成員根據聯合國特權與豁免公約相關章節規定，應有</w:t>
      </w:r>
    </w:p>
    <w:p>
      <w:pPr>
        <w:pStyle w:val="BodyText"/>
        <w:tabs>
          <w:tab w:pos="1419" w:val="left" w:leader="none"/>
        </w:tabs>
        <w:spacing w:line="256" w:lineRule="auto" w:before="4"/>
        <w:ind w:left="320" w:right="2059" w:firstLine="1320"/>
      </w:pPr>
      <w:r>
        <w:rPr>
          <w:spacing w:val="-2"/>
        </w:rPr>
        <w:t>權享有聯合國特派專家享有之設施、特權及豁免</w:t>
      </w:r>
      <w:r>
        <w:rPr>
          <w:spacing w:val="-2"/>
        </w:rPr>
        <w:t>。</w:t>
      </w:r>
      <w:r>
        <w:rPr/>
        <w:t>第 35 條</w:t>
        <w:tab/>
      </w:r>
      <w:r>
        <w:rPr>
          <w:spacing w:val="-2"/>
        </w:rPr>
        <w:t>締約國提交之報告</w:t>
      </w:r>
    </w:p>
    <w:p>
      <w:pPr>
        <w:pStyle w:val="BodyText"/>
        <w:spacing w:before="1"/>
        <w:ind w:left="1420" w:right="0"/>
      </w:pPr>
      <w:r>
        <w:rPr/>
        <w:t>1.</w:t>
      </w:r>
      <w:r>
        <w:rPr>
          <w:spacing w:val="-1"/>
        </w:rPr>
        <w:t>各締約國於本公約對其生效後二年內，應透過聯合國秘書長</w:t>
      </w:r>
    </w:p>
    <w:p>
      <w:pPr>
        <w:pStyle w:val="BodyText"/>
        <w:spacing w:line="256" w:lineRule="auto" w:before="23"/>
      </w:pPr>
      <w:r>
        <w:rPr>
          <w:spacing w:val="-2"/>
        </w:rPr>
        <w:t>，向委員會提交一份完整報告，說明為履行本公約規定之義務所採取之措施與於該方面取得之進展。</w:t>
      </w:r>
    </w:p>
    <w:p>
      <w:pPr>
        <w:pStyle w:val="BodyText"/>
        <w:spacing w:line="256" w:lineRule="auto" w:before="1"/>
        <w:ind w:hanging="220"/>
      </w:pPr>
      <w:r>
        <w:rPr>
          <w:spacing w:val="-2"/>
        </w:rPr>
        <w:t>2.其後，締約國至少應每四年提交一次報告，並於委員會提出要求時另外提交報告。</w:t>
      </w:r>
    </w:p>
    <w:p>
      <w:pPr>
        <w:pStyle w:val="BodyText"/>
        <w:ind w:left="1420" w:right="0"/>
      </w:pPr>
      <w:r>
        <w:rPr/>
        <w:t>3.</w:t>
      </w:r>
      <w:r>
        <w:rPr>
          <w:spacing w:val="-1"/>
        </w:rPr>
        <w:t>委員會應決定適用於報告內容之準則。</w:t>
      </w:r>
    </w:p>
    <w:p>
      <w:pPr>
        <w:pStyle w:val="BodyText"/>
        <w:spacing w:line="256" w:lineRule="auto" w:before="22"/>
        <w:ind w:hanging="220"/>
        <w:jc w:val="both"/>
      </w:pPr>
      <w:r>
        <w:rPr>
          <w:spacing w:val="-2"/>
        </w:rPr>
        <w:t>4.已經向委員會提交完整初次報告之締約國，於其後提交之報告中，不必重複以前提交之資料。締約國於編寫給委員會之</w:t>
      </w:r>
      <w:r>
        <w:rPr/>
        <w:t>報告時，務請採用公開、透明程序，並適度考慮本公約第 </w:t>
      </w:r>
      <w:r>
        <w:rPr>
          <w:spacing w:val="-10"/>
        </w:rPr>
        <w:t>4</w:t>
      </w:r>
    </w:p>
    <w:p>
      <w:pPr>
        <w:pStyle w:val="BodyText"/>
        <w:spacing w:line="256" w:lineRule="auto" w:before="3"/>
        <w:ind w:left="1420" w:right="1399" w:firstLine="220"/>
        <w:jc w:val="both"/>
      </w:pPr>
      <w:r>
        <w:rPr/>
        <w:t>條第</w:t>
      </w:r>
      <w:r>
        <w:rPr>
          <w:spacing w:val="68"/>
          <w:w w:val="150"/>
        </w:rPr>
        <w:t>        </w:t>
      </w:r>
      <w:r>
        <w:rPr/>
        <w:t>3</w:t>
      </w:r>
      <w:r>
        <w:rPr>
          <w:spacing w:val="69"/>
          <w:w w:val="150"/>
        </w:rPr>
        <w:t>        </w:t>
      </w:r>
      <w:r>
        <w:rPr/>
        <w:t>項規定。</w:t>
      </w:r>
      <w:r>
        <w:rPr>
          <w:spacing w:val="80"/>
        </w:rPr>
        <w:t> </w:t>
      </w:r>
      <w:r>
        <w:rPr/>
        <w:t>5.</w:t>
      </w:r>
      <w:r>
        <w:rPr>
          <w:spacing w:val="-1"/>
        </w:rPr>
        <w:t>報告可指出影響本公約所定義務履行程度之因素與困難。</w:t>
      </w:r>
    </w:p>
    <w:p>
      <w:pPr>
        <w:pStyle w:val="BodyText"/>
        <w:spacing w:before="1"/>
        <w:ind w:left="320" w:right="0"/>
        <w:jc w:val="both"/>
      </w:pPr>
      <w:r>
        <w:rPr/>
        <w:t>第 36 條</w:t>
      </w:r>
      <w:r>
        <w:rPr>
          <w:spacing w:val="55"/>
          <w:w w:val="150"/>
        </w:rPr>
        <w:t> </w:t>
      </w:r>
      <w:r>
        <w:rPr>
          <w:spacing w:val="-2"/>
        </w:rPr>
        <w:t>報告之審議</w:t>
      </w:r>
    </w:p>
    <w:p>
      <w:pPr>
        <w:pStyle w:val="BodyText"/>
        <w:spacing w:line="256" w:lineRule="auto" w:before="22"/>
        <w:ind w:hanging="220"/>
        <w:jc w:val="both"/>
      </w:pPr>
      <w:r>
        <w:rPr>
          <w:spacing w:val="-2"/>
        </w:rPr>
        <w:t>1.委員會應審議每一份報告，並於委員會認為適當時，對報告提出意見與一般性建議，將其送交有關締約國。締約國可以自行決定對委員會提供任何資料作為回復。委員會得要求締約國提供與實施本公約相關之進一步資料。</w:t>
      </w:r>
    </w:p>
    <w:p>
      <w:pPr>
        <w:pStyle w:val="BodyText"/>
        <w:spacing w:before="4"/>
        <w:ind w:left="1420" w:right="0"/>
      </w:pPr>
      <w:r>
        <w:rPr/>
        <w:t>2.</w:t>
      </w:r>
      <w:r>
        <w:rPr>
          <w:spacing w:val="-1"/>
        </w:rPr>
        <w:t>對於明顯逾期未交報告之締約國，委員會得通知有關締約國</w:t>
      </w:r>
    </w:p>
    <w:p>
      <w:pPr>
        <w:pStyle w:val="BodyText"/>
        <w:spacing w:line="256" w:lineRule="auto" w:before="22"/>
        <w:jc w:val="both"/>
      </w:pPr>
      <w:r>
        <w:rPr>
          <w:spacing w:val="-2"/>
        </w:rPr>
        <w:t>，如於發出通知後三個月內仍未提交報告，委員會必須根據所獲得之可靠資料，審查該締約國實施本公約之情況。委員會應邀請有關締約國參加此項審查工作。如締約國提交相關</w:t>
      </w:r>
      <w:r>
        <w:rPr/>
        <w:t>報告作為回復，則適用本條第 1 項之規定。</w:t>
      </w:r>
    </w:p>
    <w:p>
      <w:pPr>
        <w:pStyle w:val="BodyText"/>
        <w:spacing w:before="3"/>
        <w:ind w:left="1420" w:right="0"/>
      </w:pPr>
      <w:r>
        <w:rPr/>
        <w:t>3.</w:t>
      </w:r>
      <w:r>
        <w:rPr>
          <w:spacing w:val="-1"/>
        </w:rPr>
        <w:t>聯合國秘書長應對所有締約國提供上述報告。</w:t>
      </w:r>
    </w:p>
    <w:p>
      <w:pPr>
        <w:pStyle w:val="BodyText"/>
        <w:spacing w:line="256" w:lineRule="auto" w:before="23"/>
        <w:ind w:hanging="220"/>
      </w:pPr>
      <w:r>
        <w:rPr>
          <w:spacing w:val="-2"/>
        </w:rPr>
        <w:t>4.締約國應對國內公眾廣泛提供本國報告，並便利獲得有關該等報告之意見與一般性建議。</w:t>
      </w:r>
    </w:p>
    <w:p>
      <w:pPr>
        <w:pStyle w:val="BodyText"/>
        <w:spacing w:line="256" w:lineRule="auto" w:before="1"/>
        <w:ind w:hanging="220"/>
        <w:jc w:val="both"/>
      </w:pPr>
      <w:r>
        <w:rPr>
          <w:spacing w:val="-2"/>
        </w:rPr>
        <w:t>5.委員會應於其認為適當時，將締約國報告轉交聯合國專門機構、基金與方案及其他主管機構，以便處理報告中就技術諮詢或協助提出之請求或表示之需要，同時附上委員會可能對該等請求或需要提出之意見與建議。</w:t>
      </w:r>
    </w:p>
    <w:p>
      <w:pPr>
        <w:pStyle w:val="BodyText"/>
        <w:spacing w:before="3"/>
        <w:ind w:left="320" w:right="0"/>
        <w:jc w:val="both"/>
      </w:pPr>
      <w:r>
        <w:rPr/>
        <w:t>第 37 條</w:t>
      </w:r>
      <w:r>
        <w:rPr>
          <w:spacing w:val="55"/>
          <w:w w:val="150"/>
        </w:rPr>
        <w:t> </w:t>
      </w:r>
      <w:r>
        <w:rPr>
          <w:spacing w:val="-1"/>
        </w:rPr>
        <w:t>締約國與委員會之合作</w:t>
      </w:r>
    </w:p>
    <w:p>
      <w:pPr>
        <w:pStyle w:val="BodyText"/>
        <w:spacing w:before="23"/>
        <w:ind w:left="1420" w:right="0"/>
      </w:pPr>
      <w:r>
        <w:rPr/>
        <w:t>1.</w:t>
      </w:r>
      <w:r>
        <w:rPr>
          <w:spacing w:val="-1"/>
        </w:rPr>
        <w:t>各締約國應與委員會合作，協助委員會成員履行其任務。</w:t>
      </w:r>
    </w:p>
    <w:p>
      <w:pPr>
        <w:pStyle w:val="BodyText"/>
        <w:spacing w:line="256" w:lineRule="auto" w:before="22"/>
        <w:ind w:hanging="220"/>
      </w:pPr>
      <w:r>
        <w:rPr>
          <w:spacing w:val="-2"/>
        </w:rPr>
        <w:t>2.於與締約國之關係方面，委員會應適度考慮提高各國實施本公約能力之途徑與手段，包括透過國際合作。</w:t>
      </w:r>
    </w:p>
    <w:p>
      <w:pPr>
        <w:spacing w:after="0" w:line="256" w:lineRule="auto"/>
        <w:sectPr>
          <w:pgSz w:w="11900" w:h="16840"/>
          <w:pgMar w:top="480" w:bottom="280" w:left="1680" w:right="1680"/>
        </w:sectPr>
      </w:pPr>
    </w:p>
    <w:p>
      <w:pPr>
        <w:pStyle w:val="BodyText"/>
        <w:tabs>
          <w:tab w:pos="1419" w:val="left" w:leader="none"/>
        </w:tabs>
        <w:spacing w:before="30"/>
        <w:ind w:left="320" w:right="0"/>
      </w:pPr>
      <w:r>
        <w:rPr/>
        <w:t>第 38 </w:t>
      </w:r>
      <w:r>
        <w:rPr>
          <w:spacing w:val="-10"/>
        </w:rPr>
        <w:t>條</w:t>
      </w:r>
      <w:r>
        <w:rPr/>
        <w:tab/>
        <w:t>委員會與其他機構之關</w:t>
      </w:r>
      <w:r>
        <w:rPr>
          <w:spacing w:val="-10"/>
        </w:rPr>
        <w:t>係</w:t>
      </w:r>
    </w:p>
    <w:p>
      <w:pPr>
        <w:pStyle w:val="BodyText"/>
        <w:spacing w:line="256" w:lineRule="auto" w:before="22"/>
        <w:ind w:left="1420"/>
      </w:pPr>
      <w:r>
        <w:rPr>
          <w:spacing w:val="-2"/>
        </w:rPr>
        <w:t>為促進本公約之有效實施及鼓勵於本公約所涉領域開展國際合</w:t>
      </w:r>
      <w:r>
        <w:rPr>
          <w:spacing w:val="-6"/>
        </w:rPr>
        <w:t>作：</w:t>
      </w:r>
    </w:p>
    <w:p>
      <w:pPr>
        <w:pStyle w:val="BodyText"/>
        <w:spacing w:line="256" w:lineRule="auto"/>
        <w:ind w:hanging="550"/>
        <w:jc w:val="both"/>
      </w:pPr>
      <w:r>
        <w:rPr>
          <w:spacing w:val="-2"/>
        </w:rPr>
        <w:t>（a）各專門機構與其他聯合國機關應有權出席審議本公約中屬於其職權範圍規定之實施情況。委員會得於其認為適當時，邀請專門機構與其他主管機構就公約於各自職權範圍所涉領域之實施情況提供專家諮詢意見。委員會得邀請專門機構與其他聯合國機關提交報告，說明公約於其活動範圍所涉領域之實施情況。</w:t>
      </w:r>
    </w:p>
    <w:p>
      <w:pPr>
        <w:pStyle w:val="BodyText"/>
        <w:spacing w:line="256" w:lineRule="auto" w:before="5"/>
        <w:ind w:hanging="550"/>
        <w:jc w:val="both"/>
      </w:pPr>
      <w:r>
        <w:rPr>
          <w:spacing w:val="-2"/>
        </w:rPr>
        <w:t>（b）委員會於履行其任務時，應適當諮詢各國際人權條約所設立之其他相關組織意見，以便確保各自之報告準則、意見與一般性建議之一致性，避免於履行職能時出現重複及重疊。</w:t>
      </w:r>
    </w:p>
    <w:p>
      <w:pPr>
        <w:pStyle w:val="BodyText"/>
        <w:ind w:left="320" w:right="0"/>
        <w:jc w:val="both"/>
      </w:pPr>
      <w:r>
        <w:rPr/>
        <w:t>第 39 條</w:t>
      </w:r>
      <w:r>
        <w:rPr>
          <w:spacing w:val="55"/>
          <w:w w:val="150"/>
        </w:rPr>
        <w:t> </w:t>
      </w:r>
      <w:r>
        <w:rPr>
          <w:spacing w:val="-2"/>
        </w:rPr>
        <w:t>委員會報告</w:t>
      </w:r>
    </w:p>
    <w:p>
      <w:pPr>
        <w:pStyle w:val="BodyText"/>
        <w:spacing w:line="256" w:lineRule="auto" w:before="22"/>
        <w:ind w:left="1420"/>
        <w:jc w:val="both"/>
      </w:pPr>
      <w:r>
        <w:rPr>
          <w:spacing w:val="-2"/>
        </w:rPr>
        <w:t>委員會應每二年向大會與經濟及社會理事會提出關於其活動之報告，並得於審查締約國提交之報告與資料之基礎上，提出意見及一般性建議。該等意見及一般性建議應連同締約國可能作出之任何評論，一併列入委員會報告。</w:t>
      </w:r>
    </w:p>
    <w:p>
      <w:pPr>
        <w:pStyle w:val="BodyText"/>
        <w:spacing w:before="4"/>
        <w:ind w:left="320" w:right="0"/>
        <w:jc w:val="both"/>
      </w:pPr>
      <w:r>
        <w:rPr/>
        <w:t>第 40 條</w:t>
      </w:r>
      <w:r>
        <w:rPr>
          <w:spacing w:val="55"/>
          <w:w w:val="150"/>
        </w:rPr>
        <w:t> </w:t>
      </w:r>
      <w:r>
        <w:rPr>
          <w:spacing w:val="-2"/>
        </w:rPr>
        <w:t>締約國會議</w:t>
      </w:r>
    </w:p>
    <w:p>
      <w:pPr>
        <w:pStyle w:val="BodyText"/>
        <w:spacing w:line="256" w:lineRule="auto" w:before="22"/>
        <w:ind w:hanging="220"/>
      </w:pPr>
      <w:r>
        <w:rPr>
          <w:spacing w:val="-2"/>
        </w:rPr>
        <w:t>1.締約國應定期舉行締約國會議，以審議與實施本公約有關之任何事項。</w:t>
      </w:r>
    </w:p>
    <w:p>
      <w:pPr>
        <w:pStyle w:val="BodyText"/>
        <w:spacing w:line="256" w:lineRule="auto" w:before="1"/>
        <w:ind w:hanging="220"/>
        <w:jc w:val="both"/>
      </w:pPr>
      <w:r>
        <w:rPr>
          <w:spacing w:val="-2"/>
        </w:rPr>
        <w:t>2.聯合國秘書長最遲應於本公約生效後六個月內召開締約國會議。其後，聯合國秘書長應每二年，或根據締約國會議之決定，召開會議。</w:t>
      </w:r>
    </w:p>
    <w:p>
      <w:pPr>
        <w:pStyle w:val="BodyText"/>
        <w:spacing w:before="3"/>
        <w:ind w:left="320" w:right="0"/>
        <w:jc w:val="both"/>
      </w:pPr>
      <w:r>
        <w:rPr/>
        <w:t>第 41 條</w:t>
      </w:r>
      <w:r>
        <w:rPr>
          <w:spacing w:val="55"/>
          <w:w w:val="150"/>
        </w:rPr>
        <w:t> </w:t>
      </w:r>
      <w:r>
        <w:rPr>
          <w:spacing w:val="-4"/>
        </w:rPr>
        <w:t>保存人</w:t>
      </w:r>
    </w:p>
    <w:p>
      <w:pPr>
        <w:pStyle w:val="BodyText"/>
        <w:spacing w:line="256" w:lineRule="auto" w:before="22"/>
        <w:ind w:left="320" w:right="3819" w:firstLine="1100"/>
        <w:jc w:val="both"/>
      </w:pPr>
      <w:r>
        <w:rPr>
          <w:spacing w:val="-2"/>
        </w:rPr>
        <w:t>聯合國秘書長為本公約之保存人。</w:t>
      </w:r>
      <w:r>
        <w:rPr/>
        <w:t>第 42</w:t>
      </w:r>
      <w:r>
        <w:rPr>
          <w:spacing w:val="15"/>
        </w:rPr>
        <w:t> 條 簽署</w:t>
      </w:r>
    </w:p>
    <w:p>
      <w:pPr>
        <w:pStyle w:val="BodyText"/>
        <w:spacing w:line="256" w:lineRule="auto"/>
        <w:ind w:left="1420"/>
      </w:pPr>
      <w:r>
        <w:rPr>
          <w:spacing w:val="-2"/>
        </w:rPr>
        <w:t>本公約自二○○七年三月三十日起於紐約聯合國總部開放給所有國家與區域整合組織簽署。</w:t>
      </w:r>
    </w:p>
    <w:p>
      <w:pPr>
        <w:pStyle w:val="BodyText"/>
        <w:tabs>
          <w:tab w:pos="1419" w:val="left" w:leader="none"/>
        </w:tabs>
        <w:spacing w:before="1"/>
        <w:ind w:left="320" w:right="0"/>
      </w:pPr>
      <w:r>
        <w:rPr/>
        <w:t>第 43 </w:t>
      </w:r>
      <w:r>
        <w:rPr>
          <w:spacing w:val="-10"/>
        </w:rPr>
        <w:t>條</w:t>
      </w:r>
      <w:r>
        <w:rPr/>
        <w:tab/>
        <w:t>同意接受約</w:t>
      </w:r>
      <w:r>
        <w:rPr>
          <w:spacing w:val="-10"/>
        </w:rPr>
        <w:t>束</w:t>
      </w:r>
    </w:p>
    <w:p>
      <w:pPr>
        <w:pStyle w:val="BodyText"/>
        <w:spacing w:line="256" w:lineRule="auto" w:before="23"/>
        <w:ind w:left="1420"/>
      </w:pPr>
      <w:r>
        <w:rPr>
          <w:spacing w:val="-2"/>
        </w:rPr>
        <w:t>本公約應經簽署國批准與經簽署區域整合組織正式確認，並應開放給任何尚未簽署公約之國家或區域整合組織加入。</w:t>
      </w:r>
    </w:p>
    <w:p>
      <w:pPr>
        <w:pStyle w:val="BodyText"/>
        <w:tabs>
          <w:tab w:pos="1419" w:val="left" w:leader="none"/>
        </w:tabs>
        <w:spacing w:before="1"/>
        <w:ind w:left="320" w:right="0"/>
      </w:pPr>
      <w:r>
        <w:rPr/>
        <w:t>第 44 </w:t>
      </w:r>
      <w:r>
        <w:rPr>
          <w:spacing w:val="-10"/>
        </w:rPr>
        <w:t>條</w:t>
      </w:r>
      <w:r>
        <w:rPr/>
        <w:tab/>
        <w:t>區域整合組</w:t>
      </w:r>
      <w:r>
        <w:rPr>
          <w:spacing w:val="-10"/>
        </w:rPr>
        <w:t>織</w:t>
      </w:r>
    </w:p>
    <w:p>
      <w:pPr>
        <w:pStyle w:val="BodyText"/>
        <w:spacing w:line="256" w:lineRule="auto" w:before="23"/>
        <w:ind w:hanging="220"/>
        <w:jc w:val="both"/>
      </w:pPr>
      <w:r>
        <w:rPr>
          <w:spacing w:val="-2"/>
        </w:rPr>
        <w:t>1.“區域整合組織”是指由某一區域之主權國家組成之組織，其成員國已將本公約所涉事項方面之權限移交該組織。該等組織應於其正式確認書或加入書中聲明其有關本公約所涉事項之權限範圍。此後，該等組織應將其權限範圍之任何重大變更通知保存人。</w:t>
      </w:r>
    </w:p>
    <w:p>
      <w:pPr>
        <w:pStyle w:val="BodyText"/>
        <w:spacing w:line="256" w:lineRule="auto" w:before="4"/>
        <w:ind w:hanging="220"/>
      </w:pPr>
      <w:r>
        <w:rPr>
          <w:spacing w:val="-2"/>
        </w:rPr>
        <w:t>2.本公約提及“締約國”之處，於上述組織之權限範圍內，應適用於該等組織。</w:t>
      </w:r>
    </w:p>
    <w:p>
      <w:pPr>
        <w:pStyle w:val="BodyText"/>
        <w:tabs>
          <w:tab w:pos="3399" w:val="left" w:leader="none"/>
          <w:tab w:pos="5379" w:val="left" w:leader="none"/>
          <w:tab w:pos="6479" w:val="left" w:leader="none"/>
        </w:tabs>
        <w:spacing w:before="1"/>
        <w:ind w:left="1420" w:right="0"/>
      </w:pPr>
      <w:r>
        <w:rPr/>
        <w:t>3.為第 45 條第 </w:t>
      </w:r>
      <w:r>
        <w:rPr>
          <w:spacing w:val="-10"/>
        </w:rPr>
        <w:t>1</w:t>
      </w:r>
      <w:r>
        <w:rPr/>
        <w:tab/>
        <w:t>項與第 47 條第 </w:t>
      </w:r>
      <w:r>
        <w:rPr>
          <w:spacing w:val="-10"/>
        </w:rPr>
        <w:t>2</w:t>
      </w:r>
      <w:r>
        <w:rPr/>
        <w:tab/>
        <w:t>項及第 </w:t>
      </w:r>
      <w:r>
        <w:rPr>
          <w:spacing w:val="-10"/>
        </w:rPr>
        <w:t>3</w:t>
      </w:r>
      <w:r>
        <w:rPr/>
        <w:tab/>
        <w:t>項之目</w:t>
      </w:r>
      <w:r>
        <w:rPr>
          <w:spacing w:val="-10"/>
        </w:rPr>
        <w:t>的</w:t>
      </w:r>
    </w:p>
    <w:p>
      <w:pPr>
        <w:pStyle w:val="BodyText"/>
        <w:spacing w:line="256" w:lineRule="auto" w:before="23"/>
        <w:ind w:left="1420" w:firstLine="220"/>
      </w:pPr>
      <w:r>
        <w:rPr>
          <w:spacing w:val="-2"/>
        </w:rPr>
        <w:t>，區域整合組織交存之任何文書不應計算在內。</w:t>
      </w:r>
      <w:r>
        <w:rPr>
          <w:spacing w:val="80"/>
          <w:w w:val="150"/>
        </w:rPr>
        <w:t>    </w:t>
      </w:r>
      <w:r>
        <w:rPr/>
        <w:t>4.</w:t>
      </w:r>
      <w:r>
        <w:rPr>
          <w:spacing w:val="-1"/>
        </w:rPr>
        <w:t>區域整合組織可以於締約國會議上，對其權限範圍內之事項</w:t>
      </w:r>
    </w:p>
    <w:p>
      <w:pPr>
        <w:pStyle w:val="BodyText"/>
        <w:spacing w:line="256" w:lineRule="auto" w:before="1"/>
        <w:jc w:val="both"/>
      </w:pPr>
      <w:r>
        <w:rPr>
          <w:spacing w:val="-2"/>
        </w:rPr>
        <w:t>行使表決權，其票數相當於已成為本公約締約國之組織成員國數目。如區域整合組織之任何成員國行使表決權，則該組織不得行使表決權，反之亦然。</w:t>
      </w:r>
    </w:p>
    <w:p>
      <w:pPr>
        <w:pStyle w:val="BodyText"/>
        <w:spacing w:before="3"/>
        <w:ind w:left="320" w:right="0"/>
        <w:jc w:val="both"/>
      </w:pPr>
      <w:r>
        <w:rPr/>
        <w:t>第 45 條</w:t>
      </w:r>
      <w:r>
        <w:rPr>
          <w:spacing w:val="55"/>
          <w:w w:val="150"/>
        </w:rPr>
        <w:t> </w:t>
      </w:r>
      <w:r>
        <w:rPr>
          <w:spacing w:val="-5"/>
        </w:rPr>
        <w:t>生效</w:t>
      </w:r>
    </w:p>
    <w:p>
      <w:pPr>
        <w:pStyle w:val="BodyText"/>
        <w:spacing w:line="256" w:lineRule="auto" w:before="22"/>
        <w:ind w:hanging="220"/>
      </w:pPr>
      <w:r>
        <w:rPr>
          <w:spacing w:val="-2"/>
        </w:rPr>
        <w:t>1.本公約應於第二十份批准書或加入書存放後之第三十日起生</w:t>
      </w:r>
      <w:r>
        <w:rPr>
          <w:spacing w:val="-6"/>
        </w:rPr>
        <w:t>效。</w:t>
      </w:r>
    </w:p>
    <w:p>
      <w:pPr>
        <w:spacing w:after="0" w:line="256" w:lineRule="auto"/>
        <w:sectPr>
          <w:pgSz w:w="11900" w:h="16840"/>
          <w:pgMar w:top="480" w:bottom="280" w:left="1680" w:right="1680"/>
        </w:sectPr>
      </w:pPr>
    </w:p>
    <w:p>
      <w:pPr>
        <w:pStyle w:val="BodyText"/>
        <w:spacing w:line="256" w:lineRule="auto" w:before="30"/>
        <w:ind w:hanging="220"/>
        <w:jc w:val="both"/>
      </w:pPr>
      <w:r>
        <w:rPr>
          <w:spacing w:val="-2"/>
        </w:rPr>
        <w:t>2.對於第二十份批准書或加入書存放後批准、正式確認或加入之國家或區域整合組織，本公約應自其文書存放後之第三十日起生效。</w:t>
      </w:r>
    </w:p>
    <w:p>
      <w:pPr>
        <w:pStyle w:val="BodyText"/>
        <w:ind w:left="320" w:right="0"/>
        <w:jc w:val="both"/>
      </w:pPr>
      <w:r>
        <w:rPr/>
        <w:t>第 46 條</w:t>
      </w:r>
      <w:r>
        <w:rPr>
          <w:spacing w:val="55"/>
          <w:w w:val="150"/>
        </w:rPr>
        <w:t> </w:t>
      </w:r>
      <w:r>
        <w:rPr>
          <w:spacing w:val="-5"/>
        </w:rPr>
        <w:t>保留</w:t>
      </w:r>
    </w:p>
    <w:p>
      <w:pPr>
        <w:pStyle w:val="BodyText"/>
        <w:spacing w:before="22"/>
        <w:ind w:left="1420" w:right="0"/>
      </w:pPr>
      <w:r>
        <w:rPr/>
        <w:t>1.</w:t>
      </w:r>
      <w:r>
        <w:rPr>
          <w:spacing w:val="-1"/>
        </w:rPr>
        <w:t>保留不得與本公約之目的與宗旨不符。</w:t>
      </w:r>
    </w:p>
    <w:p>
      <w:pPr>
        <w:pStyle w:val="BodyText"/>
        <w:tabs>
          <w:tab w:pos="1419" w:val="left" w:leader="none"/>
        </w:tabs>
        <w:spacing w:line="256" w:lineRule="auto" w:before="23"/>
        <w:ind w:left="320" w:right="5139" w:firstLine="1100"/>
      </w:pPr>
      <w:r>
        <w:rPr>
          <w:spacing w:val="-2"/>
        </w:rPr>
        <w:t>2.保留可隨時撤回</w:t>
      </w:r>
      <w:r>
        <w:rPr>
          <w:spacing w:val="-2"/>
        </w:rPr>
        <w:t>。</w:t>
      </w:r>
      <w:r>
        <w:rPr/>
        <w:t>第 47 條</w:t>
        <w:tab/>
      </w:r>
      <w:r>
        <w:rPr>
          <w:spacing w:val="-6"/>
        </w:rPr>
        <w:t>修正</w:t>
      </w:r>
    </w:p>
    <w:p>
      <w:pPr>
        <w:pStyle w:val="BodyText"/>
        <w:spacing w:line="256" w:lineRule="auto" w:before="1"/>
        <w:ind w:hanging="220"/>
        <w:jc w:val="both"/>
      </w:pPr>
      <w:r>
        <w:rPr>
          <w:spacing w:val="-2"/>
        </w:rPr>
        <w:t>1.任何締約國均得對本公約提出修正案，提交聯合國秘書長。秘書長應將任何提議之修正案傳達締約國，要求締約國通知是否贊成召開締約國會議，以審議提案並就提案作出決定。於上述傳達發出日後四個月內，如有至少三分之一之締約國</w:t>
      </w:r>
      <w:r>
        <w:rPr>
          <w:spacing w:val="-1"/>
        </w:rPr>
        <w:t>贊成召開締約國會議時，秘書長應於聯合國主辦下召開會議</w:t>
      </w:r>
    </w:p>
    <w:p>
      <w:pPr>
        <w:pStyle w:val="BodyText"/>
        <w:spacing w:line="256" w:lineRule="auto" w:before="4"/>
      </w:pPr>
      <w:r>
        <w:rPr>
          <w:spacing w:val="-2"/>
        </w:rPr>
        <w:t>。經出席並參加表決之締約國三分之二多數通過之任何修正案應由秘書長提交大會核可，隨後提交所有締約國接受。</w:t>
      </w:r>
    </w:p>
    <w:p>
      <w:pPr>
        <w:pStyle w:val="BodyText"/>
        <w:spacing w:line="256" w:lineRule="auto"/>
        <w:ind w:hanging="220"/>
        <w:jc w:val="both"/>
      </w:pPr>
      <w:r>
        <w:rPr/>
        <w:t>2.</w:t>
      </w:r>
      <w:r>
        <w:rPr>
          <w:spacing w:val="-3"/>
        </w:rPr>
        <w:t>依據本條第 </w:t>
      </w:r>
      <w:r>
        <w:rPr/>
        <w:t>1 項之規定通過與核可之修正案，應於存放之</w:t>
      </w:r>
      <w:r>
        <w:rPr>
          <w:spacing w:val="-2"/>
        </w:rPr>
        <w:t>接受書數目達到修正案通過之日締約國數目之三分之二後之</w:t>
      </w:r>
      <w:r>
        <w:rPr>
          <w:spacing w:val="-2"/>
        </w:rPr>
        <w:t>第三十日起生效。此後，修正案應於任何締約國交存其接受</w:t>
      </w:r>
      <w:r>
        <w:rPr>
          <w:spacing w:val="-2"/>
        </w:rPr>
        <w:t>書後之第三十日起對該締約國生效。修正案只對接受該項修</w:t>
      </w:r>
      <w:r>
        <w:rPr>
          <w:spacing w:val="-2"/>
        </w:rPr>
        <w:t>正案之締約國具有約束力。</w:t>
      </w:r>
    </w:p>
    <w:p>
      <w:pPr>
        <w:pStyle w:val="BodyText"/>
        <w:spacing w:before="4"/>
        <w:ind w:left="1420" w:right="0"/>
        <w:jc w:val="both"/>
      </w:pPr>
      <w:r>
        <w:rPr/>
        <w:t>3.經締約國會議一致決定，依據本條第 1</w:t>
      </w:r>
      <w:r>
        <w:rPr>
          <w:spacing w:val="55"/>
          <w:w w:val="150"/>
        </w:rPr>
        <w:t> </w:t>
      </w:r>
      <w:r>
        <w:rPr>
          <w:spacing w:val="-2"/>
        </w:rPr>
        <w:t>項之規定通過與核</w:t>
      </w:r>
    </w:p>
    <w:p>
      <w:pPr>
        <w:pStyle w:val="BodyText"/>
        <w:spacing w:line="256" w:lineRule="auto" w:before="22"/>
        <w:jc w:val="both"/>
      </w:pPr>
      <w:r>
        <w:rPr>
          <w:spacing w:val="-1"/>
        </w:rPr>
        <w:t>可但僅涉及第 </w:t>
      </w:r>
      <w:r>
        <w:rPr/>
        <w:t>34</w:t>
      </w:r>
      <w:r>
        <w:rPr>
          <w:spacing w:val="-3"/>
        </w:rPr>
        <w:t> 條、第 </w:t>
      </w:r>
      <w:r>
        <w:rPr/>
        <w:t>38</w:t>
      </w:r>
      <w:r>
        <w:rPr>
          <w:spacing w:val="-3"/>
        </w:rPr>
        <w:t> 條、第 </w:t>
      </w:r>
      <w:r>
        <w:rPr/>
        <w:t>39</w:t>
      </w:r>
      <w:r>
        <w:rPr>
          <w:spacing w:val="-3"/>
        </w:rPr>
        <w:t> 條及第 </w:t>
      </w:r>
      <w:r>
        <w:rPr/>
        <w:t>40</w:t>
      </w:r>
      <w:r>
        <w:rPr>
          <w:spacing w:val="-2"/>
        </w:rPr>
        <w:t> 條之修正案，應於存放之接受書數目達到修正案通過之日締約國數目之三分之二後之第三十日起對所有締約國生效。</w:t>
      </w:r>
    </w:p>
    <w:p>
      <w:pPr>
        <w:pStyle w:val="BodyText"/>
        <w:spacing w:before="3"/>
        <w:ind w:left="320" w:right="0"/>
        <w:jc w:val="both"/>
      </w:pPr>
      <w:r>
        <w:rPr/>
        <w:t>第 48 條</w:t>
      </w:r>
      <w:r>
        <w:rPr>
          <w:spacing w:val="55"/>
          <w:w w:val="150"/>
        </w:rPr>
        <w:t> </w:t>
      </w:r>
      <w:r>
        <w:rPr>
          <w:spacing w:val="-5"/>
        </w:rPr>
        <w:t>退約</w:t>
      </w:r>
    </w:p>
    <w:p>
      <w:pPr>
        <w:pStyle w:val="BodyText"/>
        <w:spacing w:line="256" w:lineRule="auto" w:before="22"/>
        <w:ind w:left="1420"/>
      </w:pPr>
      <w:r>
        <w:rPr>
          <w:spacing w:val="-2"/>
        </w:rPr>
        <w:t>締約國得以書面通知聯合國秘書長退出本公約。退約應於秘書長收到通知之日起一年後生效。</w:t>
      </w:r>
    </w:p>
    <w:p>
      <w:pPr>
        <w:pStyle w:val="BodyText"/>
        <w:tabs>
          <w:tab w:pos="1419" w:val="left" w:leader="none"/>
        </w:tabs>
        <w:ind w:left="320" w:right="0"/>
      </w:pPr>
      <w:r>
        <w:rPr/>
        <w:t>第 49 </w:t>
      </w:r>
      <w:r>
        <w:rPr>
          <w:spacing w:val="-10"/>
        </w:rPr>
        <w:t>條</w:t>
      </w:r>
      <w:r>
        <w:rPr/>
        <w:tab/>
        <w:t>無障礙格</w:t>
      </w:r>
      <w:r>
        <w:rPr>
          <w:spacing w:val="-10"/>
        </w:rPr>
        <w:t>式</w:t>
      </w:r>
    </w:p>
    <w:p>
      <w:pPr>
        <w:pStyle w:val="BodyText"/>
        <w:tabs>
          <w:tab w:pos="1419" w:val="left" w:leader="none"/>
        </w:tabs>
        <w:spacing w:line="256" w:lineRule="auto" w:before="22"/>
        <w:ind w:left="320" w:right="3599" w:firstLine="1100"/>
      </w:pPr>
      <w:r>
        <w:rPr>
          <w:spacing w:val="-2"/>
        </w:rPr>
        <w:t>本公約之文本應以無障礙格式提供</w:t>
      </w:r>
      <w:r>
        <w:rPr>
          <w:spacing w:val="-2"/>
        </w:rPr>
        <w:t>。</w:t>
      </w:r>
      <w:r>
        <w:rPr/>
        <w:t>第 50 條</w:t>
        <w:tab/>
      </w:r>
      <w:r>
        <w:rPr>
          <w:spacing w:val="-6"/>
        </w:rPr>
        <w:t>正本</w:t>
      </w:r>
    </w:p>
    <w:p>
      <w:pPr>
        <w:pStyle w:val="BodyText"/>
        <w:ind w:left="1420" w:right="0"/>
      </w:pPr>
      <w:r>
        <w:rPr>
          <w:spacing w:val="-1"/>
        </w:rPr>
        <w:t>本公約之阿拉伯文、中文、英文、法文、俄文與西班牙文文本</w:t>
      </w:r>
    </w:p>
    <w:p>
      <w:pPr>
        <w:pStyle w:val="BodyText"/>
        <w:spacing w:before="22"/>
        <w:ind w:left="1420" w:right="0"/>
      </w:pPr>
      <w:r>
        <w:rPr>
          <w:spacing w:val="-2"/>
        </w:rPr>
        <w:t>，同一作準。</w:t>
      </w:r>
    </w:p>
    <w:p>
      <w:pPr>
        <w:pStyle w:val="BodyText"/>
        <w:spacing w:before="3"/>
        <w:ind w:left="0" w:right="0"/>
        <w:rPr>
          <w:sz w:val="25"/>
        </w:rPr>
      </w:pPr>
    </w:p>
    <w:p>
      <w:pPr>
        <w:pStyle w:val="BodyText"/>
        <w:spacing w:before="0"/>
        <w:ind w:left="320" w:right="0"/>
      </w:pPr>
      <w:r>
        <w:rPr>
          <w:spacing w:val="-1"/>
        </w:rPr>
        <w:t>下列簽署人經各自政府正式授權於本公約簽字，以昭信守。</w:t>
      </w:r>
    </w:p>
    <w:sectPr>
      <w:pgSz w:w="11900" w:h="16840"/>
      <w:pgMar w:top="4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980" w:hanging="660"/>
        <w:jc w:val="left"/>
      </w:pPr>
      <w:rPr>
        <w:rFonts w:hint="default" w:ascii="細明體" w:hAnsi="細明體" w:eastAsia="細明體" w:cs="細明體"/>
        <w:b w:val="0"/>
        <w:bCs w:val="0"/>
        <w:i w:val="0"/>
        <w:iCs w:val="0"/>
        <w:w w:val="100"/>
        <w:sz w:val="22"/>
        <w:szCs w:val="22"/>
        <w:lang w:val="en-US" w:eastAsia="zh-TW" w:bidi="ar-SA"/>
      </w:rPr>
    </w:lvl>
    <w:lvl w:ilvl="1">
      <w:start w:val="0"/>
      <w:numFmt w:val="bullet"/>
      <w:lvlText w:val="•"/>
      <w:lvlJc w:val="left"/>
      <w:pPr>
        <w:ind w:left="1736" w:hanging="660"/>
      </w:pPr>
      <w:rPr>
        <w:rFonts w:hint="default"/>
        <w:lang w:val="en-US" w:eastAsia="zh-TW" w:bidi="ar-SA"/>
      </w:rPr>
    </w:lvl>
    <w:lvl w:ilvl="2">
      <w:start w:val="0"/>
      <w:numFmt w:val="bullet"/>
      <w:lvlText w:val="•"/>
      <w:lvlJc w:val="left"/>
      <w:pPr>
        <w:ind w:left="2492" w:hanging="660"/>
      </w:pPr>
      <w:rPr>
        <w:rFonts w:hint="default"/>
        <w:lang w:val="en-US" w:eastAsia="zh-TW" w:bidi="ar-SA"/>
      </w:rPr>
    </w:lvl>
    <w:lvl w:ilvl="3">
      <w:start w:val="0"/>
      <w:numFmt w:val="bullet"/>
      <w:lvlText w:val="•"/>
      <w:lvlJc w:val="left"/>
      <w:pPr>
        <w:ind w:left="3248" w:hanging="660"/>
      </w:pPr>
      <w:rPr>
        <w:rFonts w:hint="default"/>
        <w:lang w:val="en-US" w:eastAsia="zh-TW" w:bidi="ar-SA"/>
      </w:rPr>
    </w:lvl>
    <w:lvl w:ilvl="4">
      <w:start w:val="0"/>
      <w:numFmt w:val="bullet"/>
      <w:lvlText w:val="•"/>
      <w:lvlJc w:val="left"/>
      <w:pPr>
        <w:ind w:left="4004" w:hanging="660"/>
      </w:pPr>
      <w:rPr>
        <w:rFonts w:hint="default"/>
        <w:lang w:val="en-US" w:eastAsia="zh-TW" w:bidi="ar-SA"/>
      </w:rPr>
    </w:lvl>
    <w:lvl w:ilvl="5">
      <w:start w:val="0"/>
      <w:numFmt w:val="bullet"/>
      <w:lvlText w:val="•"/>
      <w:lvlJc w:val="left"/>
      <w:pPr>
        <w:ind w:left="4760" w:hanging="660"/>
      </w:pPr>
      <w:rPr>
        <w:rFonts w:hint="default"/>
        <w:lang w:val="en-US" w:eastAsia="zh-TW" w:bidi="ar-SA"/>
      </w:rPr>
    </w:lvl>
    <w:lvl w:ilvl="6">
      <w:start w:val="0"/>
      <w:numFmt w:val="bullet"/>
      <w:lvlText w:val="•"/>
      <w:lvlJc w:val="left"/>
      <w:pPr>
        <w:ind w:left="5516" w:hanging="660"/>
      </w:pPr>
      <w:rPr>
        <w:rFonts w:hint="default"/>
        <w:lang w:val="en-US" w:eastAsia="zh-TW" w:bidi="ar-SA"/>
      </w:rPr>
    </w:lvl>
    <w:lvl w:ilvl="7">
      <w:start w:val="0"/>
      <w:numFmt w:val="bullet"/>
      <w:lvlText w:val="•"/>
      <w:lvlJc w:val="left"/>
      <w:pPr>
        <w:ind w:left="6272" w:hanging="660"/>
      </w:pPr>
      <w:rPr>
        <w:rFonts w:hint="default"/>
        <w:lang w:val="en-US" w:eastAsia="zh-TW" w:bidi="ar-SA"/>
      </w:rPr>
    </w:lvl>
    <w:lvl w:ilvl="8">
      <w:start w:val="0"/>
      <w:numFmt w:val="bullet"/>
      <w:lvlText w:val="•"/>
      <w:lvlJc w:val="left"/>
      <w:pPr>
        <w:ind w:left="7028" w:hanging="660"/>
      </w:pPr>
      <w:rPr>
        <w:rFonts w:hint="default"/>
        <w:lang w:val="en-US" w:eastAsia="zh-TW"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spacing w:before="2"/>
      <w:ind w:left="1640" w:right="1179"/>
    </w:pPr>
    <w:rPr>
      <w:rFonts w:ascii="細明體" w:hAnsi="細明體" w:eastAsia="細明體" w:cs="細明體"/>
      <w:sz w:val="22"/>
      <w:szCs w:val="22"/>
      <w:lang w:val="en-US" w:eastAsia="zh-TW" w:bidi="ar-SA"/>
    </w:rPr>
  </w:style>
  <w:style w:styleId="ListParagraph" w:type="paragraph">
    <w:name w:val="List Paragraph"/>
    <w:basedOn w:val="Normal"/>
    <w:uiPriority w:val="1"/>
    <w:qFormat/>
    <w:pPr>
      <w:spacing w:before="2"/>
      <w:ind w:left="980" w:right="1179" w:hanging="660"/>
      <w:jc w:val="both"/>
    </w:pPr>
    <w:rPr>
      <w:rFonts w:ascii="細明體" w:hAnsi="細明體" w:eastAsia="細明體" w:cs="細明體"/>
      <w:lang w:val="en-US" w:eastAsia="zh-TW" w:bidi="ar-SA"/>
    </w:rPr>
  </w:style>
  <w:style w:styleId="TableParagraph" w:type="paragraph">
    <w:name w:val="Table Paragraph"/>
    <w:basedOn w:val="Normal"/>
    <w:uiPriority w:val="1"/>
    <w:qFormat/>
    <w:pPr/>
    <w:rPr>
      <w:rFonts w:ascii="細明體" w:hAnsi="細明體" w:eastAsia="細明體" w:cs="細明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2024-01-17T01:01:25Z</dcterms:created>
  <dcterms:modified xsi:type="dcterms:W3CDTF">2024-01-17T01:01:25Z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