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Title"/>
      </w:pPr>
      <w:r>
        <w:rPr>
          <w:spacing w:val="13"/>
        </w:rPr>
        <w:t>所有條文</w:t>
      </w:r>
    </w:p>
    <w:p>
      <w:pPr>
        <w:pStyle w:val="BodyText"/>
        <w:spacing w:before="3"/>
        <w:rPr>
          <w:rFonts w:ascii="新細明體"/>
          <w:sz w:val="24"/>
        </w:rPr>
      </w:pPr>
    </w:p>
    <w:p>
      <w:pPr>
        <w:spacing w:before="1"/>
        <w:ind w:left="402" w:right="0" w:firstLine="0"/>
        <w:jc w:val="left"/>
        <w:rPr>
          <w:sz w:val="22"/>
        </w:rPr>
      </w:pPr>
      <w:r>
        <w:rPr>
          <w:rFonts w:ascii="新細明體" w:eastAsia="新細明體" w:hint="eastAsia"/>
          <w:spacing w:val="29"/>
          <w:sz w:val="23"/>
        </w:rPr>
        <w:t>法規名稱</w:t>
      </w:r>
      <w:r>
        <w:rPr>
          <w:rFonts w:ascii="新細明體" w:eastAsia="新細明體" w:hint="eastAsia"/>
          <w:spacing w:val="24"/>
          <w:sz w:val="22"/>
        </w:rPr>
        <w:t>：  </w:t>
      </w:r>
      <w:r>
        <w:rPr>
          <w:spacing w:val="12"/>
          <w:sz w:val="22"/>
        </w:rPr>
        <w:t>身心障礙學生支持服務辦法</w:t>
      </w:r>
    </w:p>
    <w:p>
      <w:pPr>
        <w:pStyle w:val="BodyText"/>
        <w:spacing w:before="83"/>
        <w:ind w:left="402"/>
      </w:pPr>
      <w:r>
        <w:rPr>
          <w:rFonts w:ascii="新細明體" w:eastAsia="新細明體" w:hint="eastAsia"/>
          <w:spacing w:val="29"/>
          <w:sz w:val="23"/>
        </w:rPr>
        <w:t>修</w:t>
      </w:r>
      <w:r>
        <w:rPr>
          <w:rFonts w:ascii="新細明體" w:eastAsia="新細明體" w:hint="eastAsia"/>
          <w:spacing w:val="29"/>
        </w:rPr>
        <w:t>正</w:t>
      </w:r>
      <w:r>
        <w:rPr>
          <w:rFonts w:ascii="新細明體" w:eastAsia="新細明體" w:hint="eastAsia"/>
          <w:spacing w:val="29"/>
          <w:sz w:val="23"/>
        </w:rPr>
        <w:t>日期</w:t>
      </w:r>
      <w:r>
        <w:rPr>
          <w:rFonts w:ascii="新細明體" w:eastAsia="新細明體" w:hint="eastAsia"/>
          <w:spacing w:val="19"/>
        </w:rPr>
        <w:t>：  </w:t>
      </w:r>
      <w:r>
        <w:rPr>
          <w:spacing w:val="15"/>
        </w:rPr>
        <w:t>民國 </w:t>
      </w:r>
      <w:r>
        <w:rPr/>
        <w:t>102</w:t>
      </w:r>
      <w:r>
        <w:rPr>
          <w:spacing w:val="18"/>
        </w:rPr>
        <w:t> 年 </w:t>
      </w:r>
      <w:r>
        <w:rPr/>
        <w:t>09</w:t>
      </w:r>
      <w:r>
        <w:rPr>
          <w:spacing w:val="18"/>
        </w:rPr>
        <w:t> 月 </w:t>
      </w:r>
      <w:r>
        <w:rPr/>
        <w:t>27</w:t>
      </w:r>
      <w:r>
        <w:rPr>
          <w:spacing w:val="6"/>
        </w:rPr>
        <w:t> 日</w:t>
      </w:r>
    </w:p>
    <w:p>
      <w:pPr>
        <w:pStyle w:val="BodyText"/>
        <w:spacing w:before="84"/>
        <w:ind w:left="402"/>
      </w:pPr>
      <w:r>
        <w:rPr>
          <w:rFonts w:ascii="新細明體" w:eastAsia="新細明體" w:hint="eastAsia"/>
          <w:spacing w:val="29"/>
          <w:sz w:val="23"/>
        </w:rPr>
        <w:t>法規類別</w:t>
      </w:r>
      <w:r>
        <w:rPr>
          <w:rFonts w:ascii="新細明體" w:eastAsia="新細明體" w:hint="eastAsia"/>
          <w:spacing w:val="20"/>
        </w:rPr>
        <w:t>：  </w:t>
      </w:r>
      <w:r>
        <w:rPr>
          <w:spacing w:val="12"/>
        </w:rPr>
        <w:t>行政 ＞ 教育部 ＞ 學生事務及特殊教育目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298" w:footer="283" w:top="760" w:bottom="480" w:left="820" w:right="1140"/>
          <w:pgNumType w:start="1"/>
        </w:sectPr>
      </w:pPr>
    </w:p>
    <w:p>
      <w:pPr>
        <w:pStyle w:val="BodyText"/>
        <w:spacing w:before="61"/>
        <w:ind w:left="951"/>
      </w:pPr>
      <w:r>
        <w:rPr/>
        <w:pict>
          <v:group style="position:absolute;margin-left:46.503628pt;margin-top:39.000004pt;width:502.75pt;height:45.05pt;mso-position-horizontal-relative:page;mso-position-vertical-relative:page;z-index:15728640" id="docshapegroup5" coordorigin="930,780" coordsize="10055,901">
            <v:rect style="position:absolute;left:930;top:1590;width:10055;height:15" id="docshape6" filled="true" fillcolor="#bfbfbf" stroked="false">
              <v:fill type="solid"/>
            </v:rect>
            <v:shape style="position:absolute;left:930;top:780;width:3602;height:901" type="#_x0000_t75" id="docshape7" stroked="false">
              <v:imagedata r:id="rId7" o:title=""/>
            </v:shape>
            <v:shape style="position:absolute;left:930;top:780;width:10055;height:901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列印時間：109/05/26 </w:t>
                    </w:r>
                    <w:r>
                      <w:rPr>
                        <w:spacing w:val="-2"/>
                        <w:sz w:val="18"/>
                      </w:rPr>
                      <w:t>10:42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14"/>
        </w:rPr>
        <w:t>第 </w:t>
      </w:r>
      <w:r>
        <w:rPr/>
        <w:t>1</w:t>
      </w:r>
      <w:r>
        <w:rPr>
          <w:spacing w:val="5"/>
        </w:rPr>
        <w:t> 條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951"/>
      </w:pPr>
      <w:r>
        <w:rPr>
          <w:spacing w:val="14"/>
        </w:rPr>
        <w:t>第 </w:t>
      </w:r>
      <w:r>
        <w:rPr/>
        <w:t>2</w:t>
      </w:r>
      <w:r>
        <w:rPr>
          <w:spacing w:val="5"/>
        </w:rPr>
        <w:t> 條</w:t>
      </w: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spacing w:before="1"/>
        <w:ind w:left="951"/>
      </w:pPr>
      <w:r>
        <w:rPr>
          <w:spacing w:val="14"/>
        </w:rPr>
        <w:t>第 </w:t>
      </w:r>
      <w:r>
        <w:rPr/>
        <w:t>3</w:t>
      </w:r>
      <w:r>
        <w:rPr>
          <w:spacing w:val="5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951"/>
      </w:pPr>
      <w:r>
        <w:rPr>
          <w:spacing w:val="14"/>
        </w:rPr>
        <w:t>第 </w:t>
      </w:r>
      <w:r>
        <w:rPr/>
        <w:t>4</w:t>
      </w:r>
      <w:r>
        <w:rPr>
          <w:spacing w:val="5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951"/>
      </w:pPr>
      <w:r>
        <w:rPr>
          <w:spacing w:val="14"/>
        </w:rPr>
        <w:t>第 </w:t>
      </w:r>
      <w:r>
        <w:rPr/>
        <w:t>5</w:t>
      </w:r>
      <w:r>
        <w:rPr>
          <w:spacing w:val="5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951"/>
      </w:pPr>
      <w:r>
        <w:rPr>
          <w:spacing w:val="14"/>
        </w:rPr>
        <w:t>第 </w:t>
      </w:r>
      <w:r>
        <w:rPr/>
        <w:t>6</w:t>
      </w:r>
      <w:r>
        <w:rPr>
          <w:spacing w:val="5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951"/>
      </w:pPr>
      <w:r>
        <w:rPr>
          <w:spacing w:val="14"/>
        </w:rPr>
        <w:t>第 </w:t>
      </w:r>
      <w:r>
        <w:rPr/>
        <w:t>7</w:t>
      </w:r>
      <w:r>
        <w:rPr>
          <w:spacing w:val="5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951"/>
      </w:pPr>
      <w:r>
        <w:rPr>
          <w:spacing w:val="14"/>
        </w:rPr>
        <w:t>第 </w:t>
      </w:r>
      <w:r>
        <w:rPr/>
        <w:t>8</w:t>
      </w:r>
      <w:r>
        <w:rPr>
          <w:spacing w:val="5"/>
        </w:rPr>
        <w:t> 條</w:t>
      </w:r>
    </w:p>
    <w:p>
      <w:pPr>
        <w:pStyle w:val="BodyText"/>
        <w:spacing w:before="76"/>
        <w:ind w:left="334"/>
        <w:jc w:val="both"/>
      </w:pPr>
      <w:r>
        <w:rPr/>
        <w:br w:type="column"/>
      </w:r>
      <w:r>
        <w:rPr>
          <w:spacing w:val="15"/>
        </w:rPr>
        <w:t>本辦法依特殊教育法（以下簡稱本法）</w:t>
      </w:r>
      <w:r>
        <w:rPr>
          <w:spacing w:val="13"/>
        </w:rPr>
        <w:t>第三十三條第三項規定訂定之。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</w:rPr>
        <w:t>各級學校、幼兒園及社會福利機構（以下簡稱學校（園）及機構），</w:t>
      </w:r>
      <w:r>
        <w:rPr>
          <w:spacing w:val="6"/>
        </w:rPr>
        <w:t>對身</w:t>
      </w:r>
      <w:r>
        <w:rPr>
          <w:spacing w:val="12"/>
        </w:rPr>
        <w:t>心障礙學生支持服務之提供，依本辦法之規定辦理。</w:t>
      </w:r>
    </w:p>
    <w:p>
      <w:pPr>
        <w:pStyle w:val="BodyText"/>
        <w:rPr>
          <w:sz w:val="17"/>
        </w:rPr>
      </w:pPr>
    </w:p>
    <w:p>
      <w:pPr>
        <w:pStyle w:val="BodyText"/>
        <w:spacing w:line="316" w:lineRule="auto" w:before="1"/>
        <w:ind w:left="334" w:right="117"/>
        <w:jc w:val="both"/>
      </w:pPr>
      <w:r>
        <w:rPr>
          <w:spacing w:val="13"/>
        </w:rPr>
        <w:t>學校（園）</w:t>
      </w:r>
      <w:r>
        <w:rPr>
          <w:spacing w:val="12"/>
        </w:rPr>
        <w:t>及機構應依本法第三十三條第一項第一款規定，視身心障礙學</w:t>
      </w:r>
      <w:r>
        <w:rPr>
          <w:spacing w:val="12"/>
        </w:rPr>
        <w:t>生教育需求，提供可改善其學習能力之教育輔助器材，包括視覺輔具、聽覺輔具、行動移位與擺位輔具、閱讀與書寫輔具、溝通輔具、電腦輔具及</w:t>
      </w:r>
      <w:r>
        <w:rPr>
          <w:spacing w:val="8"/>
        </w:rPr>
        <w:t>其他輔具。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316" w:lineRule="auto"/>
        <w:ind w:left="334" w:right="117"/>
      </w:pPr>
      <w:r>
        <w:rPr>
          <w:spacing w:val="13"/>
        </w:rPr>
        <w:t>前條教育輔助器材，學校（園）</w:t>
      </w:r>
      <w:r>
        <w:rPr>
          <w:spacing w:val="12"/>
        </w:rPr>
        <w:t>及機構應優先運用或調整校內既有教育輔</w:t>
      </w:r>
      <w:r>
        <w:rPr>
          <w:spacing w:val="12"/>
        </w:rPr>
        <w:t>助器材，或向各該管主管機關申請提供教育輔助器材，並負保管之責。</w:t>
      </w:r>
      <w:r>
        <w:rPr>
          <w:spacing w:val="40"/>
        </w:rPr>
        <w:t>  </w:t>
      </w:r>
      <w:r>
        <w:rPr>
          <w:spacing w:val="13"/>
        </w:rPr>
        <w:t>各級主管機關應依學校（園）</w:t>
      </w:r>
      <w:r>
        <w:rPr>
          <w:spacing w:val="12"/>
        </w:rPr>
        <w:t>及機構之需求，辦理教育輔助器材購置、流</w:t>
      </w:r>
      <w:r>
        <w:rPr>
          <w:spacing w:val="15"/>
        </w:rPr>
        <w:t>通及管理相關事宜，必要時，得委託學校或專業團體、機關（構）</w:t>
      </w:r>
      <w:r>
        <w:rPr>
          <w:spacing w:val="6"/>
        </w:rPr>
        <w:t>辦理。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316" w:lineRule="auto"/>
        <w:ind w:left="334" w:right="117"/>
      </w:pPr>
      <w:r>
        <w:rPr>
          <w:spacing w:val="13"/>
        </w:rPr>
        <w:t>學校（園）</w:t>
      </w:r>
      <w:r>
        <w:rPr>
          <w:spacing w:val="12"/>
        </w:rPr>
        <w:t>及機構與各級主管機關應定期辦理教育輔助器材之相關專業進</w:t>
      </w:r>
      <w:r>
        <w:rPr>
          <w:spacing w:val="8"/>
        </w:rPr>
        <w:t>修活動。</w:t>
      </w:r>
    </w:p>
    <w:p>
      <w:pPr>
        <w:pStyle w:val="BodyText"/>
        <w:spacing w:line="316" w:lineRule="auto"/>
        <w:ind w:left="334" w:right="117"/>
      </w:pPr>
      <w:r>
        <w:rPr>
          <w:spacing w:val="12"/>
        </w:rPr>
        <w:t>教師、教師助理員、特教學生助理人員、住宿生管理員及教保服務人員應</w:t>
      </w:r>
      <w:r>
        <w:rPr>
          <w:spacing w:val="14"/>
        </w:rPr>
        <w:t>參與教育輔助器材之操作與應用之專業進修、教學觀摩及交流相關研習。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</w:rPr>
        <w:t>學校（園）</w:t>
      </w:r>
      <w:r>
        <w:rPr>
          <w:spacing w:val="12"/>
        </w:rPr>
        <w:t>及機構應依本法第三十三條第一項第二款規定，提供身心障礙</w:t>
      </w:r>
      <w:r>
        <w:rPr>
          <w:spacing w:val="12"/>
        </w:rPr>
        <w:t>學生使用之適性教材，包括點字、放大字體、有聲書籍與其他點字、觸覺式、色彩強化、手語、影音加註文字、數位及電子化格式等學習教材。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</w:rPr>
        <w:t>學校（園）</w:t>
      </w:r>
      <w:r>
        <w:rPr>
          <w:spacing w:val="12"/>
        </w:rPr>
        <w:t>及機構應依本法第三十三條第一項第三款規定，運用教師助理</w:t>
      </w:r>
      <w:r>
        <w:rPr>
          <w:spacing w:val="12"/>
        </w:rPr>
        <w:t>員、特教學生助理人員、住宿生管理員、教保服務人員、協助同學及相關人員，提供身心障礙學生學習及生活人力協助，包括錄音與報讀服務、掃描校對、提醒服務、手語翻譯、同步聽打、代抄筆記、心理、社會適應、行為輔導、日常生活所需能力訓練與協助及其他必要支持服務。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316" w:lineRule="auto"/>
        <w:ind w:left="334" w:right="117"/>
      </w:pPr>
      <w:r>
        <w:rPr>
          <w:spacing w:val="13"/>
        </w:rPr>
        <w:t>學校（園）</w:t>
      </w:r>
      <w:r>
        <w:rPr>
          <w:spacing w:val="12"/>
        </w:rPr>
        <w:t>及機構應依本法第三十三條第一項第四款規定，視身心障礙學</w:t>
      </w:r>
      <w:r>
        <w:rPr>
          <w:spacing w:val="14"/>
        </w:rPr>
        <w:t>生需求，提供相關專業人員進行評估、訓練、諮詢、輔具設計選用或協助</w:t>
      </w:r>
    </w:p>
    <w:p>
      <w:pPr>
        <w:spacing w:after="0" w:line="316" w:lineRule="auto"/>
        <w:sectPr>
          <w:type w:val="continuous"/>
          <w:pgSz w:w="11900" w:h="16840"/>
          <w:pgMar w:header="298" w:footer="283" w:top="760" w:bottom="480" w:left="820" w:right="1140"/>
          <w:cols w:num="2" w:equalWidth="0">
            <w:col w:w="1777" w:space="40"/>
            <w:col w:w="8123"/>
          </w:cols>
        </w:sectPr>
      </w:pPr>
    </w:p>
    <w:p>
      <w:pPr>
        <w:pStyle w:val="BodyText"/>
        <w:spacing w:before="60"/>
        <w:ind w:left="2151"/>
      </w:pPr>
      <w:r>
        <w:rPr>
          <w:spacing w:val="13"/>
        </w:rPr>
        <w:t>轉介至相關機構等復健服務。</w:t>
      </w: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298" w:footer="283" w:top="760" w:bottom="480" w:left="820" w:right="1140"/>
        </w:sectPr>
      </w:pPr>
    </w:p>
    <w:p>
      <w:pPr>
        <w:pStyle w:val="BodyText"/>
        <w:spacing w:before="61"/>
        <w:jc w:val="right"/>
      </w:pPr>
      <w:r>
        <w:rPr>
          <w:spacing w:val="14"/>
        </w:rPr>
        <w:t>第 </w:t>
      </w:r>
      <w:r>
        <w:rPr/>
        <w:t>9</w:t>
      </w:r>
      <w:r>
        <w:rPr>
          <w:spacing w:val="5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jc w:val="right"/>
      </w:pPr>
      <w:r>
        <w:rPr>
          <w:spacing w:val="16"/>
        </w:rPr>
        <w:t>第 </w:t>
      </w:r>
      <w:r>
        <w:rPr/>
        <w:t>10</w:t>
      </w:r>
      <w:r>
        <w:rPr>
          <w:spacing w:val="7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jc w:val="right"/>
      </w:pPr>
      <w:r>
        <w:rPr>
          <w:spacing w:val="16"/>
        </w:rPr>
        <w:t>第 </w:t>
      </w:r>
      <w:r>
        <w:rPr/>
        <w:t>11</w:t>
      </w:r>
      <w:r>
        <w:rPr>
          <w:spacing w:val="7"/>
        </w:rPr>
        <w:t> 條</w:t>
      </w: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>
          <w:spacing w:val="16"/>
        </w:rPr>
        <w:t>第 </w:t>
      </w:r>
      <w:r>
        <w:rPr/>
        <w:t>12</w:t>
      </w:r>
      <w:r>
        <w:rPr>
          <w:spacing w:val="7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before="1"/>
        <w:jc w:val="right"/>
      </w:pPr>
      <w:r>
        <w:rPr>
          <w:spacing w:val="16"/>
        </w:rPr>
        <w:t>第 </w:t>
      </w:r>
      <w:r>
        <w:rPr/>
        <w:t>13</w:t>
      </w:r>
      <w:r>
        <w:rPr>
          <w:spacing w:val="7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jc w:val="right"/>
      </w:pPr>
      <w:r>
        <w:rPr>
          <w:spacing w:val="16"/>
        </w:rPr>
        <w:t>第 </w:t>
      </w:r>
      <w:r>
        <w:rPr/>
        <w:t>14</w:t>
      </w:r>
      <w:r>
        <w:rPr>
          <w:spacing w:val="7"/>
        </w:rPr>
        <w:t> 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jc w:val="right"/>
      </w:pPr>
      <w:r>
        <w:rPr>
          <w:spacing w:val="16"/>
        </w:rPr>
        <w:t>第 </w:t>
      </w:r>
      <w:r>
        <w:rPr/>
        <w:t>15</w:t>
      </w:r>
      <w:r>
        <w:rPr>
          <w:spacing w:val="7"/>
        </w:rPr>
        <w:t> 條</w:t>
      </w:r>
    </w:p>
    <w:p>
      <w:pPr>
        <w:pStyle w:val="BodyText"/>
        <w:spacing w:line="316" w:lineRule="auto" w:before="76"/>
        <w:ind w:left="334" w:right="117"/>
        <w:jc w:val="both"/>
      </w:pPr>
      <w:r>
        <w:rPr/>
        <w:br w:type="column"/>
      </w:r>
      <w:r>
        <w:rPr>
          <w:spacing w:val="13"/>
        </w:rPr>
        <w:t>學校（園）</w:t>
      </w:r>
      <w:r>
        <w:rPr>
          <w:spacing w:val="12"/>
        </w:rPr>
        <w:t>及機構應依本法第三十三條第一項第五款規定，視身心障礙學</w:t>
      </w:r>
      <w:r>
        <w:rPr>
          <w:spacing w:val="12"/>
        </w:rPr>
        <w:t>生家庭需求，提供家庭支持服務，包括家長諮詢、親職教育與特殊教育相</w:t>
      </w:r>
      <w:r>
        <w:rPr>
          <w:spacing w:val="13"/>
        </w:rPr>
        <w:t>關研習及資訊，並協助家長申請相關機關（構）</w:t>
      </w:r>
      <w:r>
        <w:rPr>
          <w:spacing w:val="11"/>
        </w:rPr>
        <w:t>或團體之服務。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spacing w:line="316" w:lineRule="auto"/>
        <w:ind w:left="334" w:right="117"/>
        <w:jc w:val="both"/>
      </w:pPr>
      <w:r>
        <w:rPr>
          <w:spacing w:val="15"/>
          <w:w w:val="102"/>
        </w:rPr>
        <w:t>學校（園）</w:t>
      </w:r>
      <w:r>
        <w:rPr>
          <w:spacing w:val="13"/>
          <w:w w:val="102"/>
        </w:rPr>
        <w:t>及機構應依本法第三十三條第一項第六款及相關法規規定，配</w:t>
      </w:r>
      <w:r>
        <w:rPr>
          <w:spacing w:val="13"/>
          <w:w w:val="102"/>
        </w:rPr>
        <w:t>合身心障礙學生之需求，建立或改善整體性之設施設備，營造校園無障礙</w:t>
      </w:r>
      <w:r>
        <w:rPr>
          <w:spacing w:val="10"/>
          <w:w w:val="102"/>
        </w:rPr>
        <w:t>環境。</w:t>
      </w: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</w:rPr>
        <w:t>學校（園）</w:t>
      </w:r>
      <w:r>
        <w:rPr>
          <w:spacing w:val="12"/>
        </w:rPr>
        <w:t>及機構辦理相關活動，應考量身心障礙學生參與之需求，營造</w:t>
      </w:r>
      <w:r>
        <w:rPr>
          <w:spacing w:val="14"/>
        </w:rPr>
        <w:t>最少限制環境，包括調整活動內容與進行方式、規劃適當動線、提供輔具</w:t>
      </w: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  <w:w w:val="102"/>
        </w:rPr>
        <w:t>、人力支援及危機處理方案等相關措施，以支持身心障礙學生參與各項活</w:t>
      </w:r>
      <w:r>
        <w:rPr>
          <w:spacing w:val="7"/>
          <w:w w:val="102"/>
        </w:rPr>
        <w:t>動。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</w:rPr>
        <w:t>學校（園）</w:t>
      </w:r>
      <w:r>
        <w:rPr>
          <w:spacing w:val="12"/>
        </w:rPr>
        <w:t>及機構應依本法第三十三條第一項第七款規定，視身心障礙學</w:t>
      </w:r>
      <w:r>
        <w:rPr>
          <w:spacing w:val="15"/>
        </w:rPr>
        <w:t>生需求，提供其他協助在學校（園）</w:t>
      </w:r>
      <w:r>
        <w:rPr>
          <w:spacing w:val="13"/>
        </w:rPr>
        <w:t>及機構學習及生活必要之支持服務。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</w:rPr>
        <w:t>學校（園）</w:t>
      </w:r>
      <w:r>
        <w:rPr>
          <w:spacing w:val="12"/>
        </w:rPr>
        <w:t>及機構提供本法第三十三條第一項各款之支持服務，應於身心</w:t>
      </w:r>
      <w:r>
        <w:rPr>
          <w:spacing w:val="12"/>
        </w:rPr>
        <w:t>障礙學生個別化教育計畫或個別化支持計畫中載明。</w:t>
      </w: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</w:rPr>
        <w:t>學校（園）</w:t>
      </w:r>
      <w:r>
        <w:rPr>
          <w:spacing w:val="12"/>
        </w:rPr>
        <w:t>及機構得向特殊教育資源中心申請提供支持服務，或向各該管</w:t>
      </w:r>
      <w:r>
        <w:rPr>
          <w:spacing w:val="11"/>
        </w:rPr>
        <w:t>主管機關申請補助經費。</w:t>
      </w:r>
    </w:p>
    <w:p>
      <w:pPr>
        <w:pStyle w:val="BodyText"/>
        <w:spacing w:line="316" w:lineRule="auto"/>
        <w:ind w:left="334" w:right="117"/>
        <w:jc w:val="both"/>
      </w:pPr>
      <w:r>
        <w:rPr>
          <w:spacing w:val="13"/>
          <w:w w:val="102"/>
        </w:rPr>
        <w:t>經主管機關許可在家實施非學校型態實驗教育之身心障礙學生，適用本法</w:t>
      </w:r>
      <w:r>
        <w:rPr>
          <w:spacing w:val="13"/>
          <w:w w:val="102"/>
        </w:rPr>
        <w:t>第三十三條第一項各款之支持服務前，應將所需服務於實驗教育計畫中載</w:t>
      </w:r>
      <w:r>
        <w:rPr>
          <w:spacing w:val="7"/>
          <w:w w:val="102"/>
        </w:rPr>
        <w:t>明。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16" w:lineRule="auto"/>
        <w:ind w:left="334" w:right="117"/>
      </w:pPr>
      <w:r>
        <w:rPr>
          <w:spacing w:val="13"/>
        </w:rPr>
        <w:t>學校（園）</w:t>
      </w:r>
      <w:r>
        <w:rPr>
          <w:spacing w:val="12"/>
        </w:rPr>
        <w:t>及機構應每年辦理相關特殊教育宣導活動，鼓勵全體教職員工</w:t>
      </w:r>
      <w:r>
        <w:rPr>
          <w:spacing w:val="14"/>
        </w:rPr>
        <w:t>與學生認識、關懷、接納及協助身心障礙學生，以支持其順利學習及生活</w:t>
      </w:r>
    </w:p>
    <w:p>
      <w:pPr>
        <w:spacing w:line="306" w:lineRule="exact" w:before="0"/>
        <w:ind w:left="334" w:right="0" w:firstLine="0"/>
        <w:jc w:val="left"/>
        <w:rPr>
          <w:sz w:val="22"/>
        </w:rPr>
      </w:pPr>
      <w:r>
        <w:rPr>
          <w:w w:val="102"/>
          <w:sz w:val="22"/>
        </w:rPr>
        <w:t>。</w:t>
      </w:r>
    </w:p>
    <w:p>
      <w:pPr>
        <w:pStyle w:val="BodyText"/>
        <w:spacing w:before="98"/>
        <w:ind w:left="334"/>
      </w:pPr>
      <w:r>
        <w:rPr>
          <w:spacing w:val="14"/>
        </w:rPr>
        <w:t>前項所定特殊教育宣導活動，包括研習、體驗、演講、競賽、表演、參觀</w:t>
      </w:r>
    </w:p>
    <w:p>
      <w:pPr>
        <w:pStyle w:val="BodyText"/>
        <w:spacing w:before="97"/>
        <w:ind w:left="334"/>
      </w:pPr>
      <w:r>
        <w:rPr>
          <w:spacing w:val="14"/>
        </w:rPr>
        <w:t>、觀摩及其他相關活動；其活動之設計，應兼顧身心障礙學生之尊嚴。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16" w:lineRule="auto"/>
        <w:ind w:left="334" w:right="117"/>
      </w:pPr>
      <w:r>
        <w:rPr>
          <w:spacing w:val="13"/>
        </w:rPr>
        <w:t>學校（園）</w:t>
      </w:r>
      <w:r>
        <w:rPr>
          <w:spacing w:val="12"/>
        </w:rPr>
        <w:t>及機構應整合各單位相關人力、物力、空間資源，以團隊合作</w:t>
      </w:r>
      <w:r>
        <w:rPr>
          <w:spacing w:val="12"/>
        </w:rPr>
        <w:t>方式，辦理本辦法所定事項，並於每年定期自行評估實施成效。</w:t>
      </w:r>
    </w:p>
    <w:p>
      <w:pPr>
        <w:pStyle w:val="BodyText"/>
        <w:spacing w:line="316" w:lineRule="auto"/>
        <w:ind w:left="334" w:right="117"/>
      </w:pPr>
      <w:r>
        <w:rPr>
          <w:spacing w:val="13"/>
        </w:rPr>
        <w:t>各主管機關應對學校（園）</w:t>
      </w:r>
      <w:r>
        <w:rPr>
          <w:spacing w:val="12"/>
        </w:rPr>
        <w:t>及機構辦理本辦法所定事項之實施成效，列入</w:t>
      </w:r>
      <w:r>
        <w:rPr>
          <w:spacing w:val="11"/>
        </w:rPr>
        <w:t>評鑑或考核之項目。</w:t>
      </w:r>
    </w:p>
    <w:p>
      <w:pPr>
        <w:pStyle w:val="BodyText"/>
        <w:spacing w:before="13"/>
        <w:rPr>
          <w:sz w:val="16"/>
        </w:rPr>
      </w:pPr>
    </w:p>
    <w:p>
      <w:pPr>
        <w:pStyle w:val="BodyText"/>
        <w:ind w:left="334"/>
      </w:pPr>
      <w:r>
        <w:rPr>
          <w:spacing w:val="12"/>
        </w:rPr>
        <w:t>本辦法自發布日施行。</w:t>
      </w:r>
    </w:p>
    <w:p>
      <w:pPr>
        <w:spacing w:after="0"/>
        <w:sectPr>
          <w:type w:val="continuous"/>
          <w:pgSz w:w="11900" w:h="16840"/>
          <w:pgMar w:header="298" w:footer="283" w:top="760" w:bottom="480" w:left="820" w:right="1140"/>
          <w:cols w:num="2" w:equalWidth="0">
            <w:col w:w="1777" w:space="40"/>
            <w:col w:w="81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6.503628pt;margin-top:756.346863pt;width:502.743085pt;height:.750363pt;mso-position-horizontal-relative:page;mso-position-vertical-relative:page;z-index:15729152" id="docshape9" filled="true" fillcolor="#bfbfbf" stroked="false">
            <v:fill type="solid"/>
            <w10:wrap type="none"/>
          </v:rect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64"/>
        <w:ind w:left="110" w:right="0" w:firstLine="0"/>
        <w:jc w:val="left"/>
        <w:rPr>
          <w:sz w:val="18"/>
        </w:rPr>
      </w:pPr>
      <w:r>
        <w:rPr>
          <w:spacing w:val="-1"/>
          <w:sz w:val="18"/>
        </w:rPr>
        <w:t>資料來源：全國法規資料庫</w:t>
      </w:r>
    </w:p>
    <w:sectPr>
      <w:type w:val="continuous"/>
      <w:pgSz w:w="11900" w:h="16840"/>
      <w:pgMar w:header="298" w:footer="283" w:top="760" w:bottom="480" w:left="8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Arial">
    <w:altName w:val="Arial"/>
    <w:charset w:val="0"/>
    <w:family w:val="swiss"/>
    <w:pitch w:val="variable"/>
  </w:font>
  <w:font w:name="Microsoft JhengHei UI">
    <w:altName w:val="Microsoft JhengHei UI"/>
    <w:charset w:val="88"/>
    <w:family w:val="swiss"/>
    <w:pitch w:val="variable"/>
  </w:font>
  <w:font w:name="細明體">
    <w:altName w:val="細明體"/>
    <w:charset w:val="8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55.45pt;height:10.95pt;mso-position-horizontal-relative:page;mso-position-vertical-relative:page;z-index:-15828992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7"/>
                    <w:sz w:val="16"/>
                  </w:rPr>
                  <w:t>https://law.moj.gov.tw/LawClass/LawAll.aspx?media=print&amp;pcode=H0080064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46814pt;margin-top:816.757751pt;width:14.45pt;height:10.95pt;mso-position-horizontal-relative:page;mso-position-vertical-relative:page;z-index:-15828480" type="#_x0000_t202" id="docshape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2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10936pt;margin-top:13.875002pt;width:157pt;height:12.2pt;mso-position-horizontal-relative:page;mso-position-vertical-relative:page;z-index:-15830016" type="#_x0000_t202" id="docshape1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Microsoft JhengHei UI" w:eastAsia="Microsoft JhengHei UI" w:hint="eastAsia"/>
                    <w:sz w:val="16"/>
                  </w:rPr>
                </w:pPr>
                <w:r>
                  <w:rPr>
                    <w:rFonts w:ascii="Microsoft JhengHei UI" w:eastAsia="Microsoft JhengHei UI" w:hint="eastAsia"/>
                    <w:sz w:val="16"/>
                  </w:rPr>
                  <w:t>身心障礙學生支持服務辦法</w:t>
                </w:r>
                <w:r>
                  <w:rPr>
                    <w:rFonts w:ascii="Arial" w:eastAsia="Arial"/>
                    <w:sz w:val="16"/>
                  </w:rPr>
                  <w:t>-</w:t>
                </w:r>
                <w:r>
                  <w:rPr>
                    <w:rFonts w:ascii="Microsoft JhengHei UI" w:eastAsia="Microsoft JhengHei UI" w:hint="eastAsia"/>
                    <w:spacing w:val="-2"/>
                    <w:sz w:val="16"/>
                  </w:rPr>
                  <w:t>全國法規資料庫</w:t>
                </w:r>
              </w:p>
            </w:txbxContent>
          </v:textbox>
          <w10:wrap type="none"/>
        </v:shape>
      </w:pict>
    </w:r>
    <w:r>
      <w:rPr/>
      <w:pict>
        <v:shape style="position:absolute;margin-left:25.453123pt;margin-top:14.757814pt;width:34.450pt;height:10.95pt;mso-position-horizontal-relative:page;mso-position-vertical-relative:page;z-index:-1582950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7"/>
                    <w:sz w:val="16"/>
                  </w:rPr>
                  <w:t>2020/5/26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" w:hAnsi="細明體" w:eastAsia="細明體" w:cs="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細明體" w:hAnsi="細明體" w:eastAsia="細明體" w:cs="細明體"/>
      <w:sz w:val="22"/>
      <w:szCs w:val="2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48"/>
      <w:ind w:left="335"/>
    </w:pPr>
    <w:rPr>
      <w:rFonts w:ascii="新細明體" w:hAnsi="新細明體" w:eastAsia="新細明體" w:cs="新細明體"/>
      <w:sz w:val="23"/>
      <w:szCs w:val="23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2024-01-17T00:52:33Z</dcterms:created>
  <dcterms:modified xsi:type="dcterms:W3CDTF">2024-01-17T00:52:33Z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Mozilla/5.0 (Windows NT 6.1; Win64; x64) AppleWebKit/537.36 (KHTML, like Gecko) Chrome/81.0.4044.138 Safari/537.36</vt:lpwstr>
  </property>
  <property fmtid="{D5CDD505-2E9C-101B-9397-08002B2CF9AE}" pid="4" name="LastSaved">
    <vt:filetime>2024-01-17T00:00:00Z</vt:filetime>
  </property>
  <property fmtid="{D5CDD505-2E9C-101B-9397-08002B2CF9AE}" pid="5" name="Producer">
    <vt:lpwstr>Skia/PDF m81</vt:lpwstr>
  </property>
</Properties>
</file>