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p>
      <w:pPr>
        <w:pStyle w:val="Title"/>
      </w:pPr>
      <w:r>
        <w:rPr>
          <w:spacing w:val="13"/>
        </w:rPr>
        <w:t>所有條文</w:t>
      </w:r>
    </w:p>
    <w:p>
      <w:pPr>
        <w:pStyle w:val="BodyText"/>
        <w:spacing w:before="9"/>
        <w:rPr>
          <w:rFonts w:ascii="新細明體"/>
          <w:sz w:val="20"/>
        </w:rPr>
      </w:pPr>
    </w:p>
    <w:p>
      <w:pPr>
        <w:spacing w:after="0"/>
        <w:rPr>
          <w:rFonts w:ascii="新細明體"/>
          <w:sz w:val="20"/>
        </w:rPr>
        <w:sectPr>
          <w:headerReference w:type="default" r:id="rId5"/>
          <w:footerReference w:type="default" r:id="rId6"/>
          <w:type w:val="continuous"/>
          <w:pgSz w:w="11900" w:h="16840"/>
          <w:pgMar w:header="298" w:footer="283" w:top="760" w:bottom="480" w:left="820" w:right="1140"/>
          <w:pgNumType w:start="1"/>
        </w:sectPr>
      </w:pPr>
    </w:p>
    <w:p>
      <w:pPr>
        <w:spacing w:before="50"/>
        <w:ind w:left="402" w:right="0" w:firstLine="0"/>
        <w:jc w:val="left"/>
        <w:rPr>
          <w:sz w:val="22"/>
        </w:rPr>
      </w:pPr>
      <w:r>
        <w:rPr/>
        <w:pict>
          <v:group style="position:absolute;margin-left:270.111755pt;margin-top:4.245311pt;width:13.55pt;height:13.55pt;mso-position-horizontal-relative:page;mso-position-vertical-relative:paragraph;z-index:15729152" id="docshapegroup5" coordorigin="5402,85" coordsize="271,271">
            <v:rect style="position:absolute;left:5409;top:92;width:256;height:256" id="docshape6" filled="false" stroked="true" strokeweight=".750363pt" strokecolor="#999999">
              <v:stroke dashstyle="solid"/>
            </v:rect>
            <v:shape style="position:absolute;left:5402;top:84;width:271;height:271" type="#_x0000_t202" id="docshape7" filled="false" stroked="false">
              <v:textbox inset="0,0,0,0">
                <w:txbxContent>
                  <w:p>
                    <w:pPr>
                      <w:spacing w:before="15"/>
                      <w:ind w:left="37" w:right="0" w:firstLine="0"/>
                      <w:jc w:val="left"/>
                      <w:rPr>
                        <w:sz w:val="18"/>
                      </w:rPr>
                    </w:pPr>
                    <w:r>
                      <w:rPr>
                        <w:spacing w:val="-5"/>
                        <w:sz w:val="18"/>
                      </w:rPr>
                      <w:t>EN</w:t>
                    </w:r>
                  </w:p>
                </w:txbxContent>
              </v:textbox>
              <w10:wrap type="none"/>
            </v:shape>
            <w10:wrap type="none"/>
          </v:group>
        </w:pict>
      </w:r>
      <w:r>
        <w:rPr>
          <w:rFonts w:ascii="新細明體" w:eastAsia="新細明體" w:hint="eastAsia"/>
          <w:spacing w:val="29"/>
          <w:sz w:val="23"/>
        </w:rPr>
        <w:t>法規名稱</w:t>
      </w:r>
      <w:r>
        <w:rPr>
          <w:rFonts w:ascii="新細明體" w:eastAsia="新細明體" w:hint="eastAsia"/>
          <w:spacing w:val="23"/>
          <w:sz w:val="22"/>
        </w:rPr>
        <w:t>：  </w:t>
      </w:r>
      <w:r>
        <w:rPr>
          <w:spacing w:val="12"/>
          <w:sz w:val="22"/>
        </w:rPr>
        <w:t>個人資料保護法施行細則</w:t>
      </w:r>
    </w:p>
    <w:p>
      <w:pPr>
        <w:pStyle w:val="BodyText"/>
        <w:spacing w:before="84"/>
        <w:ind w:left="402"/>
      </w:pPr>
      <w:r>
        <w:rPr>
          <w:rFonts w:ascii="新細明體" w:eastAsia="新細明體" w:hint="eastAsia"/>
          <w:spacing w:val="29"/>
          <w:sz w:val="23"/>
        </w:rPr>
        <w:t>修</w:t>
      </w:r>
      <w:r>
        <w:rPr>
          <w:rFonts w:ascii="新細明體" w:eastAsia="新細明體" w:hint="eastAsia"/>
          <w:spacing w:val="29"/>
        </w:rPr>
        <w:t>正</w:t>
      </w:r>
      <w:r>
        <w:rPr>
          <w:rFonts w:ascii="新細明體" w:eastAsia="新細明體" w:hint="eastAsia"/>
          <w:spacing w:val="29"/>
          <w:sz w:val="23"/>
        </w:rPr>
        <w:t>日期</w:t>
      </w:r>
      <w:r>
        <w:rPr>
          <w:rFonts w:ascii="新細明體" w:eastAsia="新細明體" w:hint="eastAsia"/>
          <w:spacing w:val="19"/>
        </w:rPr>
        <w:t>：  </w:t>
      </w:r>
      <w:r>
        <w:rPr>
          <w:spacing w:val="15"/>
        </w:rPr>
        <w:t>民國 </w:t>
      </w:r>
      <w:r>
        <w:rPr/>
        <w:t>105</w:t>
      </w:r>
      <w:r>
        <w:rPr>
          <w:spacing w:val="18"/>
        </w:rPr>
        <w:t> 年 </w:t>
      </w:r>
      <w:r>
        <w:rPr/>
        <w:t>03</w:t>
      </w:r>
      <w:r>
        <w:rPr>
          <w:spacing w:val="18"/>
        </w:rPr>
        <w:t> 月 </w:t>
      </w:r>
      <w:r>
        <w:rPr/>
        <w:t>02</w:t>
      </w:r>
      <w:r>
        <w:rPr>
          <w:spacing w:val="6"/>
        </w:rPr>
        <w:t> 日</w:t>
      </w:r>
    </w:p>
    <w:p>
      <w:pPr>
        <w:pStyle w:val="BodyText"/>
        <w:spacing w:before="84"/>
        <w:ind w:left="402"/>
      </w:pPr>
      <w:r>
        <w:rPr>
          <w:rFonts w:ascii="新細明體" w:eastAsia="新細明體" w:hint="eastAsia"/>
          <w:spacing w:val="29"/>
          <w:sz w:val="23"/>
        </w:rPr>
        <w:t>法規類別</w:t>
      </w:r>
      <w:r>
        <w:rPr>
          <w:rFonts w:ascii="新細明體" w:eastAsia="新細明體" w:hint="eastAsia"/>
          <w:spacing w:val="18"/>
        </w:rPr>
        <w:t>：  </w:t>
      </w:r>
      <w:r>
        <w:rPr>
          <w:spacing w:val="11"/>
        </w:rPr>
        <w:t>行政 ＞ 國家發展委員會 ＞</w:t>
      </w:r>
    </w:p>
    <w:p>
      <w:pPr>
        <w:spacing w:line="240" w:lineRule="auto" w:before="0"/>
        <w:rPr>
          <w:sz w:val="22"/>
        </w:rPr>
      </w:pPr>
      <w:r>
        <w:rPr/>
        <w:br w:type="column"/>
      </w:r>
      <w:r>
        <w:rPr>
          <w:sz w:val="22"/>
        </w:rPr>
      </w:r>
    </w:p>
    <w:p>
      <w:pPr>
        <w:pStyle w:val="BodyText"/>
      </w:pPr>
    </w:p>
    <w:p>
      <w:pPr>
        <w:pStyle w:val="BodyText"/>
        <w:spacing w:before="4"/>
        <w:rPr>
          <w:sz w:val="18"/>
        </w:rPr>
      </w:pPr>
    </w:p>
    <w:p>
      <w:pPr>
        <w:pStyle w:val="BodyText"/>
        <w:ind w:left="95"/>
      </w:pPr>
      <w:r>
        <w:rPr>
          <w:spacing w:val="6"/>
        </w:rPr>
        <w:t>通用目</w:t>
      </w:r>
    </w:p>
    <w:p>
      <w:pPr>
        <w:spacing w:after="0"/>
        <w:sectPr>
          <w:type w:val="continuous"/>
          <w:pgSz w:w="11900" w:h="16840"/>
          <w:pgMar w:header="298" w:footer="283" w:top="760" w:bottom="480" w:left="820" w:right="1140"/>
          <w:cols w:num="2" w:equalWidth="0">
            <w:col w:w="4800" w:space="40"/>
            <w:col w:w="5100"/>
          </w:cols>
        </w:sectPr>
      </w:pPr>
    </w:p>
    <w:p>
      <w:pPr>
        <w:pStyle w:val="BodyText"/>
        <w:rPr>
          <w:sz w:val="20"/>
        </w:rPr>
      </w:pPr>
    </w:p>
    <w:p>
      <w:pPr>
        <w:pStyle w:val="BodyText"/>
        <w:spacing w:before="7"/>
        <w:rPr>
          <w:sz w:val="14"/>
        </w:rPr>
      </w:pPr>
    </w:p>
    <w:p>
      <w:pPr>
        <w:spacing w:after="0"/>
        <w:rPr>
          <w:sz w:val="14"/>
        </w:rPr>
        <w:sectPr>
          <w:type w:val="continuous"/>
          <w:pgSz w:w="11900" w:h="16840"/>
          <w:pgMar w:header="298" w:footer="283" w:top="760" w:bottom="480" w:left="820" w:right="1140"/>
        </w:sectPr>
      </w:pPr>
    </w:p>
    <w:p>
      <w:pPr>
        <w:pStyle w:val="BodyText"/>
        <w:spacing w:before="61"/>
        <w:ind w:left="951"/>
      </w:pPr>
      <w:r>
        <w:rPr/>
        <w:pict>
          <v:group style="position:absolute;margin-left:46.503628pt;margin-top:39.000004pt;width:502.75pt;height:45.05pt;mso-position-horizontal-relative:page;mso-position-vertical-relative:page;z-index:15728640" id="docshapegroup8" coordorigin="930,780" coordsize="10055,901">
            <v:rect style="position:absolute;left:930;top:1590;width:10055;height:15" id="docshape9" filled="true" fillcolor="#bfbfbf" stroked="false">
              <v:fill type="solid"/>
            </v:rect>
            <v:shape style="position:absolute;left:930;top:780;width:3602;height:901" type="#_x0000_t75" id="docshape10" stroked="false">
              <v:imagedata r:id="rId7" o:title=""/>
            </v:shape>
            <v:shape style="position:absolute;left:930;top:780;width:10055;height:901" type="#_x0000_t202" id="docshape11" filled="false" stroked="false">
              <v:textbox inset="0,0,0,0">
                <w:txbxContent>
                  <w:p>
                    <w:pPr>
                      <w:spacing w:line="240" w:lineRule="auto" w:before="0"/>
                      <w:rPr>
                        <w:sz w:val="18"/>
                      </w:rPr>
                    </w:pPr>
                  </w:p>
                  <w:p>
                    <w:pPr>
                      <w:spacing w:line="240" w:lineRule="auto" w:before="13"/>
                      <w:rPr>
                        <w:sz w:val="24"/>
                      </w:rPr>
                    </w:pPr>
                  </w:p>
                  <w:p>
                    <w:pPr>
                      <w:spacing w:before="0"/>
                      <w:ind w:left="0" w:right="0" w:firstLine="0"/>
                      <w:jc w:val="right"/>
                      <w:rPr>
                        <w:sz w:val="18"/>
                      </w:rPr>
                    </w:pPr>
                    <w:r>
                      <w:rPr>
                        <w:sz w:val="18"/>
                      </w:rPr>
                      <w:t>列印時間：109/05/26 </w:t>
                    </w:r>
                    <w:r>
                      <w:rPr>
                        <w:spacing w:val="-2"/>
                        <w:sz w:val="18"/>
                      </w:rPr>
                      <w:t>10:24</w:t>
                    </w:r>
                  </w:p>
                </w:txbxContent>
              </v:textbox>
              <w10:wrap type="none"/>
            </v:shape>
            <w10:wrap type="none"/>
          </v:group>
        </w:pict>
      </w:r>
      <w:r>
        <w:rPr>
          <w:spacing w:val="14"/>
        </w:rPr>
        <w:t>第 </w:t>
      </w:r>
      <w:r>
        <w:rPr/>
        <w:t>1</w:t>
      </w:r>
      <w:r>
        <w:rPr>
          <w:spacing w:val="5"/>
        </w:rPr>
        <w:t> 條</w:t>
      </w:r>
    </w:p>
    <w:p>
      <w:pPr>
        <w:pStyle w:val="BodyText"/>
        <w:spacing w:before="2"/>
        <w:rPr>
          <w:sz w:val="24"/>
        </w:rPr>
      </w:pPr>
    </w:p>
    <w:p>
      <w:pPr>
        <w:pStyle w:val="BodyText"/>
        <w:ind w:left="951"/>
      </w:pPr>
      <w:r>
        <w:rPr>
          <w:spacing w:val="14"/>
        </w:rPr>
        <w:t>第 </w:t>
      </w:r>
      <w:r>
        <w:rPr/>
        <w:t>2</w:t>
      </w:r>
      <w:r>
        <w:rPr>
          <w:spacing w:val="5"/>
        </w:rPr>
        <w:t> 條</w:t>
      </w:r>
    </w:p>
    <w:p>
      <w:pPr>
        <w:pStyle w:val="BodyText"/>
        <w:spacing w:before="2"/>
        <w:rPr>
          <w:sz w:val="24"/>
        </w:rPr>
      </w:pPr>
    </w:p>
    <w:p>
      <w:pPr>
        <w:pStyle w:val="BodyText"/>
        <w:ind w:left="951"/>
      </w:pPr>
      <w:r>
        <w:rPr>
          <w:spacing w:val="14"/>
        </w:rPr>
        <w:t>第 </w:t>
      </w:r>
      <w:r>
        <w:rPr/>
        <w:t>3</w:t>
      </w:r>
      <w:r>
        <w:rPr>
          <w:spacing w:val="5"/>
        </w:rPr>
        <w:t> 條</w:t>
      </w:r>
    </w:p>
    <w:p>
      <w:pPr>
        <w:pStyle w:val="BodyText"/>
      </w:pPr>
    </w:p>
    <w:p>
      <w:pPr>
        <w:pStyle w:val="BodyText"/>
      </w:pPr>
    </w:p>
    <w:p>
      <w:pPr>
        <w:pStyle w:val="BodyText"/>
      </w:pPr>
    </w:p>
    <w:p>
      <w:pPr>
        <w:pStyle w:val="BodyText"/>
        <w:spacing w:before="1"/>
        <w:rPr>
          <w:sz w:val="16"/>
        </w:rPr>
      </w:pPr>
    </w:p>
    <w:p>
      <w:pPr>
        <w:pStyle w:val="BodyText"/>
        <w:ind w:left="951"/>
      </w:pPr>
      <w:r>
        <w:rPr>
          <w:spacing w:val="14"/>
        </w:rPr>
        <w:t>第 </w:t>
      </w:r>
      <w:r>
        <w:rPr/>
        <w:t>4</w:t>
      </w:r>
      <w:r>
        <w:rPr>
          <w:spacing w:val="5"/>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2"/>
        <w:rPr>
          <w:sz w:val="26"/>
        </w:rPr>
      </w:pPr>
    </w:p>
    <w:p>
      <w:pPr>
        <w:pStyle w:val="BodyText"/>
        <w:ind w:left="951"/>
      </w:pPr>
      <w:r>
        <w:rPr>
          <w:spacing w:val="14"/>
        </w:rPr>
        <w:t>第 </w:t>
      </w:r>
      <w:r>
        <w:rPr/>
        <w:t>5</w:t>
      </w:r>
      <w:r>
        <w:rPr>
          <w:spacing w:val="5"/>
        </w:rPr>
        <w:t> 條</w:t>
      </w:r>
    </w:p>
    <w:p>
      <w:pPr>
        <w:pStyle w:val="BodyText"/>
        <w:spacing w:before="2"/>
        <w:rPr>
          <w:sz w:val="24"/>
        </w:rPr>
      </w:pPr>
    </w:p>
    <w:p>
      <w:pPr>
        <w:pStyle w:val="BodyText"/>
        <w:ind w:left="951"/>
      </w:pPr>
      <w:r>
        <w:rPr>
          <w:spacing w:val="14"/>
        </w:rPr>
        <w:t>第 </w:t>
      </w:r>
      <w:r>
        <w:rPr/>
        <w:t>6</w:t>
      </w:r>
      <w:r>
        <w:rPr>
          <w:spacing w:val="5"/>
        </w:rPr>
        <w:t> 條</w:t>
      </w:r>
    </w:p>
    <w:p>
      <w:pPr>
        <w:pStyle w:val="BodyText"/>
      </w:pPr>
    </w:p>
    <w:p>
      <w:pPr>
        <w:pStyle w:val="BodyText"/>
      </w:pPr>
    </w:p>
    <w:p>
      <w:pPr>
        <w:pStyle w:val="BodyText"/>
      </w:pPr>
    </w:p>
    <w:p>
      <w:pPr>
        <w:pStyle w:val="BodyText"/>
      </w:pPr>
    </w:p>
    <w:p>
      <w:pPr>
        <w:pStyle w:val="BodyText"/>
        <w:spacing w:before="1"/>
        <w:rPr>
          <w:sz w:val="23"/>
        </w:rPr>
      </w:pPr>
    </w:p>
    <w:p>
      <w:pPr>
        <w:pStyle w:val="BodyText"/>
        <w:ind w:left="951"/>
      </w:pPr>
      <w:r>
        <w:rPr>
          <w:spacing w:val="14"/>
        </w:rPr>
        <w:t>第 </w:t>
      </w:r>
      <w:r>
        <w:rPr/>
        <w:t>7</w:t>
      </w:r>
      <w:r>
        <w:rPr>
          <w:spacing w:val="5"/>
        </w:rPr>
        <w:t> 條</w:t>
      </w:r>
    </w:p>
    <w:p>
      <w:pPr>
        <w:pStyle w:val="BodyText"/>
        <w:spacing w:line="504" w:lineRule="auto" w:before="76"/>
        <w:ind w:left="334" w:right="597"/>
        <w:jc w:val="both"/>
      </w:pPr>
      <w:r>
        <w:rPr/>
        <w:br w:type="column"/>
      </w:r>
      <w:r>
        <w:rPr>
          <w:spacing w:val="13"/>
        </w:rPr>
        <w:t>本細則依個人資料保護法（以下簡稱本法）</w:t>
      </w:r>
      <w:r>
        <w:rPr>
          <w:spacing w:val="11"/>
        </w:rPr>
        <w:t>第五十五條規定訂定之。</w:t>
      </w:r>
      <w:r>
        <w:rPr>
          <w:spacing w:val="12"/>
        </w:rPr>
        <w:t>本法所稱個人，指現生存之自然人。</w:t>
      </w:r>
    </w:p>
    <w:p>
      <w:pPr>
        <w:pStyle w:val="BodyText"/>
        <w:spacing w:line="316" w:lineRule="auto"/>
        <w:ind w:left="334" w:right="117"/>
        <w:jc w:val="both"/>
      </w:pPr>
      <w:r>
        <w:rPr>
          <w:spacing w:val="12"/>
        </w:rPr>
        <w:t>本法第二條第一款所稱得以間接方式識別，指保有該資料之公務或非公務</w:t>
      </w:r>
      <w:r>
        <w:rPr>
          <w:spacing w:val="12"/>
        </w:rPr>
        <w:t>機關僅以該資料不能直接識別，須與其他資料對照、組合、連結等，始能</w:t>
      </w:r>
      <w:r>
        <w:rPr>
          <w:spacing w:val="11"/>
        </w:rPr>
        <w:t>識別該特定之個人。</w:t>
      </w:r>
    </w:p>
    <w:p>
      <w:pPr>
        <w:pStyle w:val="BodyText"/>
        <w:spacing w:before="12"/>
        <w:rPr>
          <w:sz w:val="16"/>
        </w:rPr>
      </w:pPr>
    </w:p>
    <w:p>
      <w:pPr>
        <w:pStyle w:val="BodyText"/>
        <w:spacing w:line="316" w:lineRule="auto"/>
        <w:ind w:left="334" w:right="117"/>
        <w:jc w:val="both"/>
      </w:pPr>
      <w:r>
        <w:rPr>
          <w:spacing w:val="12"/>
        </w:rPr>
        <w:t>本法第二條第一款所稱病歷之個人資料，指醫療法第六十七條第二項所列</w:t>
      </w:r>
      <w:r>
        <w:rPr>
          <w:spacing w:val="10"/>
        </w:rPr>
        <w:t>之各款資料。</w:t>
      </w:r>
    </w:p>
    <w:p>
      <w:pPr>
        <w:pStyle w:val="BodyText"/>
        <w:spacing w:line="316" w:lineRule="auto"/>
        <w:ind w:left="334" w:right="117"/>
        <w:jc w:val="both"/>
      </w:pPr>
      <w:r>
        <w:rPr>
          <w:spacing w:val="12"/>
        </w:rPr>
        <w:t>本法第二條第一款所稱醫療之個人資料，指病歷及其他由醫師或其他之醫</w:t>
      </w:r>
      <w:r>
        <w:rPr>
          <w:spacing w:val="12"/>
        </w:rPr>
        <w:t>事人員，以治療、矯正、預防人體疾病、傷害、殘缺為目的，或其他醫學上之正當理由，所為之診察及治療；或基於以上之診察結果，所為處方、用藥、施術或處置所產生之個人資料。</w:t>
      </w:r>
    </w:p>
    <w:p>
      <w:pPr>
        <w:pStyle w:val="BodyText"/>
        <w:spacing w:line="304" w:lineRule="exact"/>
        <w:ind w:left="334"/>
        <w:jc w:val="both"/>
      </w:pPr>
      <w:r>
        <w:rPr>
          <w:spacing w:val="14"/>
        </w:rPr>
        <w:t>本法第二條第一款所稱基因之個人資料，指由人體一段去氧核醣核酸構成</w:t>
      </w:r>
    </w:p>
    <w:p>
      <w:pPr>
        <w:pStyle w:val="BodyText"/>
        <w:spacing w:before="96"/>
        <w:ind w:left="334"/>
      </w:pPr>
      <w:r>
        <w:rPr>
          <w:spacing w:val="13"/>
        </w:rPr>
        <w:t>，為人體控制特定功能之遺傳單位訊息。</w:t>
      </w:r>
    </w:p>
    <w:p>
      <w:pPr>
        <w:pStyle w:val="BodyText"/>
        <w:spacing w:before="97"/>
        <w:ind w:left="334"/>
      </w:pPr>
      <w:r>
        <w:rPr>
          <w:spacing w:val="14"/>
        </w:rPr>
        <w:t>本法第二條第一款所稱性生活之個人資料，指性取向或性慣行之個人資料</w:t>
      </w:r>
    </w:p>
    <w:p>
      <w:pPr>
        <w:spacing w:before="98"/>
        <w:ind w:left="334" w:right="0" w:firstLine="0"/>
        <w:jc w:val="left"/>
        <w:rPr>
          <w:sz w:val="22"/>
        </w:rPr>
      </w:pPr>
      <w:r>
        <w:rPr>
          <w:w w:val="102"/>
          <w:sz w:val="22"/>
        </w:rPr>
        <w:t>。</w:t>
      </w:r>
    </w:p>
    <w:p>
      <w:pPr>
        <w:pStyle w:val="BodyText"/>
        <w:spacing w:line="316" w:lineRule="auto" w:before="97"/>
        <w:ind w:left="334" w:right="117"/>
      </w:pPr>
      <w:r>
        <w:rPr>
          <w:spacing w:val="12"/>
        </w:rPr>
        <w:t>本法第二條第一款所稱健康檢查之個人資料，指非針對特定疾病進行診斷</w:t>
      </w:r>
      <w:r>
        <w:rPr>
          <w:spacing w:val="12"/>
        </w:rPr>
        <w:t>或治療之目的，而以醫療行為施以檢查所產生之資料。</w:t>
      </w:r>
    </w:p>
    <w:p>
      <w:pPr>
        <w:pStyle w:val="BodyText"/>
        <w:spacing w:line="316" w:lineRule="auto"/>
        <w:ind w:left="334" w:right="117"/>
      </w:pPr>
      <w:r>
        <w:rPr>
          <w:spacing w:val="12"/>
        </w:rPr>
        <w:t>本法第二條第一款所稱犯罪前科之個人資料，指經緩起訴、職權不起訴或</w:t>
      </w:r>
      <w:r>
        <w:rPr>
          <w:spacing w:val="12"/>
        </w:rPr>
        <w:t>法院判決有罪確定、執行之紀錄。</w:t>
      </w:r>
    </w:p>
    <w:p>
      <w:pPr>
        <w:pStyle w:val="BodyText"/>
        <w:spacing w:before="13"/>
        <w:rPr>
          <w:sz w:val="16"/>
        </w:rPr>
      </w:pPr>
    </w:p>
    <w:p>
      <w:pPr>
        <w:pStyle w:val="BodyText"/>
        <w:ind w:left="334"/>
      </w:pPr>
      <w:r>
        <w:rPr>
          <w:spacing w:val="13"/>
        </w:rPr>
        <w:t>本法第二條第二款所定個人資料檔案，包括備份檔案。</w:t>
      </w:r>
    </w:p>
    <w:p>
      <w:pPr>
        <w:pStyle w:val="BodyText"/>
        <w:spacing w:before="2"/>
        <w:rPr>
          <w:sz w:val="24"/>
        </w:rPr>
      </w:pPr>
    </w:p>
    <w:p>
      <w:pPr>
        <w:pStyle w:val="BodyText"/>
        <w:spacing w:line="316" w:lineRule="auto"/>
        <w:ind w:left="334" w:right="117"/>
      </w:pPr>
      <w:r>
        <w:rPr>
          <w:spacing w:val="13"/>
          <w:w w:val="102"/>
        </w:rPr>
        <w:t>本法第二條第四款所稱刪除，指使已儲存之個人資料自個人資料檔案中消</w:t>
      </w:r>
      <w:r>
        <w:rPr>
          <w:spacing w:val="7"/>
          <w:w w:val="102"/>
        </w:rPr>
        <w:t>失。</w:t>
      </w:r>
    </w:p>
    <w:p>
      <w:pPr>
        <w:pStyle w:val="BodyText"/>
        <w:spacing w:line="316" w:lineRule="auto"/>
        <w:ind w:left="334" w:right="117"/>
      </w:pPr>
      <w:r>
        <w:rPr>
          <w:spacing w:val="12"/>
        </w:rPr>
        <w:t>本法第二條第四款所稱內部傳送，指公務機關或非公務機關本身內部之資</w:t>
      </w:r>
      <w:r>
        <w:rPr>
          <w:spacing w:val="8"/>
        </w:rPr>
        <w:t>料傳送。</w:t>
      </w:r>
    </w:p>
    <w:p>
      <w:pPr>
        <w:pStyle w:val="BodyText"/>
        <w:spacing w:before="13"/>
        <w:rPr>
          <w:sz w:val="16"/>
        </w:rPr>
      </w:pPr>
    </w:p>
    <w:p>
      <w:pPr>
        <w:pStyle w:val="BodyText"/>
        <w:ind w:left="334"/>
      </w:pPr>
      <w:r>
        <w:rPr>
          <w:spacing w:val="14"/>
        </w:rPr>
        <w:t>受委託蒐集、處理或利用個人資料之法人、團體或自然人，依委託機關應</w:t>
      </w:r>
    </w:p>
    <w:p>
      <w:pPr>
        <w:spacing w:after="0"/>
        <w:sectPr>
          <w:type w:val="continuous"/>
          <w:pgSz w:w="11900" w:h="16840"/>
          <w:pgMar w:header="298" w:footer="283" w:top="760" w:bottom="480" w:left="820" w:right="1140"/>
          <w:cols w:num="2" w:equalWidth="0">
            <w:col w:w="1777" w:space="40"/>
            <w:col w:w="8123"/>
          </w:cols>
        </w:sectPr>
      </w:pPr>
    </w:p>
    <w:p>
      <w:pPr>
        <w:pStyle w:val="BodyText"/>
        <w:spacing w:before="60"/>
        <w:ind w:left="2151"/>
      </w:pPr>
      <w:r>
        <w:rPr>
          <w:spacing w:val="11"/>
        </w:rPr>
        <w:t>適用之規定為之。</w:t>
      </w:r>
    </w:p>
    <w:p>
      <w:pPr>
        <w:pStyle w:val="BodyText"/>
        <w:spacing w:before="11"/>
        <w:rPr>
          <w:sz w:val="19"/>
        </w:rPr>
      </w:pPr>
    </w:p>
    <w:p>
      <w:pPr>
        <w:spacing w:after="0"/>
        <w:rPr>
          <w:sz w:val="19"/>
        </w:rPr>
        <w:sectPr>
          <w:pgSz w:w="11900" w:h="16840"/>
          <w:pgMar w:header="298" w:footer="283" w:top="760" w:bottom="480" w:left="820" w:right="1140"/>
        </w:sectPr>
      </w:pPr>
    </w:p>
    <w:p>
      <w:pPr>
        <w:pStyle w:val="BodyText"/>
        <w:spacing w:before="61"/>
        <w:jc w:val="right"/>
      </w:pPr>
      <w:r>
        <w:rPr>
          <w:spacing w:val="14"/>
        </w:rPr>
        <w:t>第 </w:t>
      </w:r>
      <w:r>
        <w:rPr/>
        <w:t>8</w:t>
      </w:r>
      <w:r>
        <w:rPr>
          <w:spacing w:val="5"/>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8"/>
        </w:rPr>
      </w:pPr>
    </w:p>
    <w:p>
      <w:pPr>
        <w:pStyle w:val="BodyText"/>
        <w:spacing w:before="1"/>
        <w:jc w:val="right"/>
      </w:pPr>
      <w:r>
        <w:rPr>
          <w:spacing w:val="14"/>
        </w:rPr>
        <w:t>第 </w:t>
      </w:r>
      <w:r>
        <w:rPr/>
        <w:t>9</w:t>
      </w:r>
      <w:r>
        <w:rPr>
          <w:spacing w:val="5"/>
        </w:rPr>
        <w:t> 條</w:t>
      </w:r>
    </w:p>
    <w:p>
      <w:pPr>
        <w:pStyle w:val="BodyText"/>
      </w:pPr>
    </w:p>
    <w:p>
      <w:pPr>
        <w:pStyle w:val="BodyText"/>
      </w:pPr>
    </w:p>
    <w:p>
      <w:pPr>
        <w:pStyle w:val="BodyText"/>
      </w:pPr>
    </w:p>
    <w:p>
      <w:pPr>
        <w:pStyle w:val="BodyText"/>
        <w:spacing w:before="1"/>
        <w:rPr>
          <w:sz w:val="16"/>
        </w:rPr>
      </w:pPr>
    </w:p>
    <w:p>
      <w:pPr>
        <w:pStyle w:val="BodyText"/>
        <w:jc w:val="right"/>
      </w:pPr>
      <w:r>
        <w:rPr>
          <w:spacing w:val="16"/>
        </w:rPr>
        <w:t>第 </w:t>
      </w:r>
      <w:r>
        <w:rPr/>
        <w:t>10</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jc w:val="right"/>
      </w:pPr>
      <w:r>
        <w:rPr>
          <w:spacing w:val="16"/>
        </w:rPr>
        <w:t>第 </w:t>
      </w:r>
      <w:r>
        <w:rPr/>
        <w:t>11</w:t>
      </w:r>
      <w:r>
        <w:rPr>
          <w:spacing w:val="7"/>
        </w:rPr>
        <w:t> 條</w:t>
      </w:r>
    </w:p>
    <w:p>
      <w:pPr>
        <w:pStyle w:val="BodyText"/>
      </w:pPr>
    </w:p>
    <w:p>
      <w:pPr>
        <w:pStyle w:val="BodyText"/>
        <w:spacing w:before="1"/>
        <w:rPr>
          <w:sz w:val="31"/>
        </w:rPr>
      </w:pPr>
    </w:p>
    <w:p>
      <w:pPr>
        <w:pStyle w:val="BodyText"/>
        <w:jc w:val="right"/>
      </w:pPr>
      <w:r>
        <w:rPr>
          <w:spacing w:val="16"/>
        </w:rPr>
        <w:t>第 </w:t>
      </w:r>
      <w:r>
        <w:rPr/>
        <w:t>12</w:t>
      </w:r>
      <w:r>
        <w:rPr>
          <w:spacing w:val="7"/>
        </w:rPr>
        <w:t> 條</w:t>
      </w:r>
    </w:p>
    <w:p>
      <w:pPr>
        <w:pStyle w:val="BodyText"/>
        <w:spacing w:line="316" w:lineRule="auto" w:before="76"/>
        <w:ind w:left="334" w:right="117"/>
      </w:pPr>
      <w:r>
        <w:rPr/>
        <w:br w:type="column"/>
      </w:r>
      <w:r>
        <w:rPr>
          <w:spacing w:val="13"/>
          <w:w w:val="102"/>
        </w:rPr>
        <w:t>委託他人蒐集、處理或利用個人資料時，委託機關應對受託者為適當之監</w:t>
      </w:r>
      <w:r>
        <w:rPr>
          <w:spacing w:val="7"/>
          <w:w w:val="102"/>
        </w:rPr>
        <w:t>督。</w:t>
      </w:r>
    </w:p>
    <w:p>
      <w:pPr>
        <w:pStyle w:val="BodyText"/>
        <w:spacing w:line="306" w:lineRule="exact"/>
        <w:ind w:left="334"/>
      </w:pPr>
      <w:r>
        <w:rPr>
          <w:spacing w:val="13"/>
        </w:rPr>
        <w:t>前項監督至少應包含下列事項：</w:t>
      </w:r>
    </w:p>
    <w:p>
      <w:pPr>
        <w:pStyle w:val="BodyText"/>
        <w:spacing w:line="316" w:lineRule="auto" w:before="97"/>
        <w:ind w:left="334" w:right="117"/>
      </w:pPr>
      <w:r>
        <w:rPr>
          <w:spacing w:val="12"/>
        </w:rPr>
        <w:t>一、預定蒐集、處理或利用個人資料之範圍、類別、特定目的及其期間。</w:t>
      </w:r>
      <w:r>
        <w:rPr>
          <w:spacing w:val="12"/>
        </w:rPr>
        <w:t>二、受託者就第十二條第二項採取之措施。</w:t>
      </w:r>
    </w:p>
    <w:p>
      <w:pPr>
        <w:pStyle w:val="BodyText"/>
        <w:spacing w:line="306" w:lineRule="exact"/>
        <w:ind w:left="334"/>
      </w:pPr>
      <w:r>
        <w:rPr>
          <w:spacing w:val="13"/>
        </w:rPr>
        <w:t>三、有複委託者，其約定之受託者。</w:t>
      </w:r>
    </w:p>
    <w:p>
      <w:pPr>
        <w:pStyle w:val="BodyText"/>
        <w:spacing w:before="98"/>
        <w:ind w:left="334"/>
      </w:pPr>
      <w:r>
        <w:rPr>
          <w:spacing w:val="14"/>
        </w:rPr>
        <w:t>四、受託者或其受僱人違反本法、其他個人資料保護法律或其法規命令時</w:t>
      </w:r>
    </w:p>
    <w:p>
      <w:pPr>
        <w:pStyle w:val="BodyText"/>
        <w:spacing w:before="97"/>
        <w:ind w:left="814"/>
      </w:pPr>
      <w:r>
        <w:rPr>
          <w:spacing w:val="13"/>
        </w:rPr>
        <w:t>，應向委託機關通知之事項及採行之補救措施。</w:t>
      </w:r>
    </w:p>
    <w:p>
      <w:pPr>
        <w:pStyle w:val="BodyText"/>
        <w:spacing w:before="98"/>
        <w:ind w:left="334"/>
      </w:pPr>
      <w:r>
        <w:rPr>
          <w:spacing w:val="14"/>
        </w:rPr>
        <w:t>五、委託機關如對受託者有保留指示者，其保留指示之事項。</w:t>
      </w:r>
    </w:p>
    <w:p>
      <w:pPr>
        <w:pStyle w:val="BodyText"/>
        <w:spacing w:line="316" w:lineRule="auto" w:before="97"/>
        <w:ind w:left="814" w:right="117" w:hanging="481"/>
      </w:pPr>
      <w:r>
        <w:rPr>
          <w:spacing w:val="12"/>
        </w:rPr>
        <w:t>六、委託關係終止或解除時，個人資料載體之返還，及受託者履行委託契</w:t>
      </w:r>
      <w:r>
        <w:rPr>
          <w:spacing w:val="12"/>
        </w:rPr>
        <w:t>約以儲存方式而持有之個人資料之刪除。</w:t>
      </w:r>
    </w:p>
    <w:p>
      <w:pPr>
        <w:pStyle w:val="BodyText"/>
        <w:spacing w:line="316" w:lineRule="auto"/>
        <w:ind w:left="334" w:right="117"/>
      </w:pPr>
      <w:r>
        <w:rPr>
          <w:spacing w:val="13"/>
          <w:w w:val="102"/>
        </w:rPr>
        <w:t>第一項之監督，委託機關應定期確認受託者執行之狀況，並將確認結果記</w:t>
      </w:r>
      <w:r>
        <w:rPr>
          <w:spacing w:val="10"/>
          <w:w w:val="102"/>
        </w:rPr>
        <w:t>錄之。</w:t>
      </w:r>
    </w:p>
    <w:p>
      <w:pPr>
        <w:pStyle w:val="BodyText"/>
        <w:spacing w:line="316" w:lineRule="auto"/>
        <w:ind w:left="334" w:right="117"/>
      </w:pPr>
      <w:r>
        <w:rPr>
          <w:spacing w:val="12"/>
        </w:rPr>
        <w:t>受託者僅得於委託機關指示之範圍內，蒐集、處理或利用個人資料。受託</w:t>
      </w:r>
      <w:r>
        <w:rPr>
          <w:spacing w:val="14"/>
        </w:rPr>
        <w:t>者認委託機關之指示有違反本法、其他個人資料保護法律或其法規命令者</w:t>
      </w:r>
    </w:p>
    <w:p>
      <w:pPr>
        <w:pStyle w:val="BodyText"/>
        <w:spacing w:line="306" w:lineRule="exact"/>
        <w:ind w:left="334"/>
      </w:pPr>
      <w:r>
        <w:rPr>
          <w:spacing w:val="12"/>
        </w:rPr>
        <w:t>，應立即通知委託機關。</w:t>
      </w:r>
    </w:p>
    <w:p>
      <w:pPr>
        <w:pStyle w:val="BodyText"/>
        <w:spacing w:before="13"/>
        <w:rPr>
          <w:sz w:val="23"/>
        </w:rPr>
      </w:pPr>
    </w:p>
    <w:p>
      <w:pPr>
        <w:pStyle w:val="BodyText"/>
        <w:spacing w:line="316" w:lineRule="auto"/>
        <w:ind w:left="334" w:right="117"/>
        <w:jc w:val="both"/>
      </w:pPr>
      <w:r>
        <w:rPr>
          <w:spacing w:val="12"/>
        </w:rPr>
        <w:t>本法第六條第一項但書第一款、第八條第二項第一款、第十六條但書第一</w:t>
      </w:r>
      <w:r>
        <w:rPr>
          <w:spacing w:val="12"/>
        </w:rPr>
        <w:t>款、第十九條第一項第一款、第二十條第一項但書第一款所稱法律，指法律或法律具體明確授權之法規命令。</w:t>
      </w:r>
    </w:p>
    <w:p>
      <w:pPr>
        <w:pStyle w:val="BodyText"/>
        <w:spacing w:before="13"/>
        <w:rPr>
          <w:sz w:val="16"/>
        </w:rPr>
      </w:pPr>
    </w:p>
    <w:p>
      <w:pPr>
        <w:pStyle w:val="BodyText"/>
        <w:spacing w:line="316" w:lineRule="auto"/>
        <w:ind w:left="334" w:right="117"/>
        <w:jc w:val="both"/>
      </w:pPr>
      <w:r>
        <w:rPr>
          <w:spacing w:val="12"/>
        </w:rPr>
        <w:t>本法第六條第一項但書第二款及第五款、第八條第二項第二款及第三款、</w:t>
      </w:r>
      <w:r>
        <w:rPr>
          <w:spacing w:val="12"/>
        </w:rPr>
        <w:t>第十條但書第二款、第十五條第一款、第十六條所稱法定職務，指於下列法規中所定公務機關之職務：</w:t>
      </w:r>
    </w:p>
    <w:p>
      <w:pPr>
        <w:pStyle w:val="BodyText"/>
        <w:spacing w:line="316" w:lineRule="auto"/>
        <w:ind w:left="334" w:right="4679"/>
      </w:pPr>
      <w:r>
        <w:rPr>
          <w:spacing w:val="12"/>
        </w:rPr>
        <w:t>一、法律、法律授權之命令。</w:t>
      </w:r>
      <w:r>
        <w:rPr>
          <w:spacing w:val="11"/>
        </w:rPr>
        <w:t>二、自治條例。</w:t>
      </w:r>
    </w:p>
    <w:p>
      <w:pPr>
        <w:pStyle w:val="BodyText"/>
        <w:spacing w:line="316" w:lineRule="auto"/>
        <w:ind w:left="334" w:right="3719"/>
      </w:pPr>
      <w:r>
        <w:rPr>
          <w:spacing w:val="12"/>
        </w:rPr>
        <w:t>三、法律或自治條例授權之自治規則。</w:t>
      </w:r>
      <w:r>
        <w:rPr>
          <w:spacing w:val="13"/>
        </w:rPr>
        <w:t>四、法律或中央法規授權之委辦規則。</w:t>
      </w:r>
    </w:p>
    <w:p>
      <w:pPr>
        <w:pStyle w:val="BodyText"/>
        <w:spacing w:before="10"/>
        <w:rPr>
          <w:sz w:val="16"/>
        </w:rPr>
      </w:pPr>
    </w:p>
    <w:p>
      <w:pPr>
        <w:pStyle w:val="BodyText"/>
        <w:spacing w:line="316" w:lineRule="auto"/>
        <w:ind w:left="334" w:right="117"/>
        <w:jc w:val="both"/>
      </w:pPr>
      <w:r>
        <w:rPr>
          <w:spacing w:val="12"/>
        </w:rPr>
        <w:t>本法第六條第一項但書第二款及第五款、第八條第二項第二款所稱法定義</w:t>
      </w:r>
      <w:r>
        <w:rPr>
          <w:spacing w:val="12"/>
        </w:rPr>
        <w:t>務，指非公務機關依法律或法律具體明確授權之法規命令所定之義務。</w:t>
      </w:r>
    </w:p>
    <w:p>
      <w:pPr>
        <w:pStyle w:val="BodyText"/>
        <w:spacing w:before="1"/>
        <w:rPr>
          <w:sz w:val="17"/>
        </w:rPr>
      </w:pPr>
    </w:p>
    <w:p>
      <w:pPr>
        <w:pStyle w:val="BodyText"/>
        <w:spacing w:line="316" w:lineRule="auto"/>
        <w:ind w:left="334" w:right="117"/>
        <w:jc w:val="both"/>
      </w:pPr>
      <w:r>
        <w:rPr>
          <w:spacing w:val="12"/>
        </w:rPr>
        <w:t>本法第六條第一項但書第二款及第五款所稱適當安全維護措施、第十八條</w:t>
      </w:r>
      <w:r>
        <w:rPr>
          <w:spacing w:val="12"/>
        </w:rPr>
        <w:t>所稱安全維護事項、第十九條第一項第二款及第二十七條第一項所稱適當之安全措施，指公務機關或非公務機關為防止個人資料被竊取、竄改、毀損、滅失或洩漏，採取技術上及組織上之措施。</w:t>
      </w:r>
    </w:p>
    <w:p>
      <w:pPr>
        <w:pStyle w:val="BodyText"/>
        <w:spacing w:line="304" w:lineRule="exact"/>
        <w:ind w:left="334"/>
        <w:jc w:val="both"/>
      </w:pPr>
      <w:r>
        <w:rPr>
          <w:spacing w:val="14"/>
        </w:rPr>
        <w:t>前項措施，得包括下列事項，並以與所欲達成之個人資料保護目的間，具</w:t>
      </w:r>
    </w:p>
    <w:p>
      <w:pPr>
        <w:spacing w:after="0" w:line="304" w:lineRule="exact"/>
        <w:jc w:val="both"/>
        <w:sectPr>
          <w:type w:val="continuous"/>
          <w:pgSz w:w="11900" w:h="16840"/>
          <w:pgMar w:header="298" w:footer="283" w:top="760" w:bottom="480" w:left="820" w:right="1140"/>
          <w:cols w:num="2" w:equalWidth="0">
            <w:col w:w="1777" w:space="40"/>
            <w:col w:w="8123"/>
          </w:cols>
        </w:sectPr>
      </w:pPr>
    </w:p>
    <w:p>
      <w:pPr>
        <w:pStyle w:val="BodyText"/>
        <w:spacing w:before="60"/>
        <w:ind w:left="2151"/>
      </w:pPr>
      <w:r>
        <w:rPr>
          <w:spacing w:val="12"/>
        </w:rPr>
        <w:t>有適當比例為原則：</w:t>
      </w:r>
    </w:p>
    <w:p>
      <w:pPr>
        <w:pStyle w:val="BodyText"/>
        <w:spacing w:line="316" w:lineRule="auto" w:before="97"/>
        <w:ind w:left="2151" w:right="4199"/>
      </w:pPr>
      <w:r>
        <w:rPr>
          <w:spacing w:val="12"/>
        </w:rPr>
        <w:t>一、配置管理之人員及相當資源。</w:t>
      </w:r>
      <w:r>
        <w:rPr>
          <w:spacing w:val="11"/>
        </w:rPr>
        <w:t>二、界定個人資料之範圍。</w:t>
      </w:r>
    </w:p>
    <w:p>
      <w:pPr>
        <w:pStyle w:val="BodyText"/>
        <w:spacing w:line="316" w:lineRule="auto"/>
        <w:ind w:left="2151" w:right="3719"/>
      </w:pPr>
      <w:r>
        <w:rPr>
          <w:spacing w:val="12"/>
        </w:rPr>
        <w:t>三、個人資料之風險評估及管理機制。</w:t>
      </w:r>
      <w:r>
        <w:rPr>
          <w:spacing w:val="12"/>
        </w:rPr>
        <w:t>四、事故之預防、通報及應變機制。</w:t>
      </w:r>
    </w:p>
    <w:p>
      <w:pPr>
        <w:pStyle w:val="BodyText"/>
        <w:spacing w:line="316" w:lineRule="auto"/>
        <w:ind w:left="2151" w:right="2518"/>
      </w:pPr>
      <w:r>
        <w:rPr>
          <w:spacing w:val="12"/>
        </w:rPr>
        <w:t>五、個人資料蒐集、處理及利用之內部管理程序。</w:t>
      </w:r>
      <w:r>
        <w:rPr>
          <w:spacing w:val="12"/>
        </w:rPr>
        <w:t>六、資料安全管理及人員管理。</w:t>
      </w:r>
    </w:p>
    <w:p>
      <w:pPr>
        <w:pStyle w:val="BodyText"/>
        <w:spacing w:line="316" w:lineRule="auto"/>
        <w:ind w:left="2151" w:right="4919"/>
      </w:pPr>
      <w:r>
        <w:rPr>
          <w:spacing w:val="11"/>
        </w:rPr>
        <w:t>七、認知宣導及教育訓練。</w:t>
      </w:r>
      <w:r>
        <w:rPr>
          <w:spacing w:val="11"/>
        </w:rPr>
        <w:t>八、設備安全管理。</w:t>
      </w:r>
    </w:p>
    <w:p>
      <w:pPr>
        <w:pStyle w:val="BodyText"/>
        <w:spacing w:line="306" w:lineRule="exact"/>
        <w:ind w:left="2151"/>
      </w:pPr>
      <w:r>
        <w:rPr>
          <w:spacing w:val="12"/>
        </w:rPr>
        <w:t>九、資料安全稽核機制。</w:t>
      </w:r>
    </w:p>
    <w:p>
      <w:pPr>
        <w:pStyle w:val="BodyText"/>
        <w:spacing w:before="92"/>
        <w:ind w:left="2151"/>
      </w:pPr>
      <w:r>
        <w:rPr>
          <w:spacing w:val="13"/>
        </w:rPr>
        <w:t>十、使用紀錄、軌跡資料及證據保存。</w:t>
      </w:r>
    </w:p>
    <w:p>
      <w:pPr>
        <w:pStyle w:val="BodyText"/>
        <w:spacing w:before="98"/>
        <w:ind w:left="2151"/>
      </w:pPr>
      <w:r>
        <w:rPr>
          <w:spacing w:val="13"/>
        </w:rPr>
        <w:t>十一、個人資料安全維護之整體持續改善。</w:t>
      </w:r>
    </w:p>
    <w:p>
      <w:pPr>
        <w:pStyle w:val="BodyText"/>
        <w:spacing w:before="11"/>
        <w:rPr>
          <w:sz w:val="19"/>
        </w:rPr>
      </w:pPr>
    </w:p>
    <w:p>
      <w:pPr>
        <w:spacing w:after="0"/>
        <w:rPr>
          <w:sz w:val="19"/>
        </w:rPr>
        <w:sectPr>
          <w:pgSz w:w="11900" w:h="16840"/>
          <w:pgMar w:header="298" w:footer="283" w:top="760" w:bottom="480" w:left="820" w:right="1140"/>
        </w:sectPr>
      </w:pPr>
    </w:p>
    <w:p>
      <w:pPr>
        <w:pStyle w:val="BodyText"/>
        <w:spacing w:before="61"/>
        <w:ind w:left="831"/>
      </w:pPr>
      <w:r>
        <w:rPr>
          <w:spacing w:val="16"/>
        </w:rPr>
        <w:t>第 </w:t>
      </w:r>
      <w:r>
        <w:rPr/>
        <w:t>13</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5"/>
        </w:rPr>
      </w:pPr>
    </w:p>
    <w:p>
      <w:pPr>
        <w:pStyle w:val="BodyText"/>
        <w:ind w:left="831"/>
      </w:pPr>
      <w:r>
        <w:rPr>
          <w:spacing w:val="16"/>
        </w:rPr>
        <w:t>第 </w:t>
      </w:r>
      <w:r>
        <w:rPr/>
        <w:t>14</w:t>
      </w:r>
      <w:r>
        <w:rPr>
          <w:spacing w:val="7"/>
        </w:rPr>
        <w:t> 條</w:t>
      </w:r>
    </w:p>
    <w:p>
      <w:pPr>
        <w:pStyle w:val="BodyText"/>
      </w:pPr>
    </w:p>
    <w:p>
      <w:pPr>
        <w:pStyle w:val="BodyText"/>
        <w:spacing w:before="2"/>
        <w:rPr>
          <w:sz w:val="31"/>
        </w:rPr>
      </w:pPr>
    </w:p>
    <w:p>
      <w:pPr>
        <w:pStyle w:val="BodyText"/>
        <w:ind w:left="831"/>
      </w:pPr>
      <w:r>
        <w:rPr>
          <w:spacing w:val="16"/>
        </w:rPr>
        <w:t>第 </w:t>
      </w:r>
      <w:r>
        <w:rPr/>
        <w:t>15</w:t>
      </w:r>
      <w:r>
        <w:rPr>
          <w:spacing w:val="7"/>
        </w:rPr>
        <w:t> 條</w:t>
      </w:r>
    </w:p>
    <w:p>
      <w:pPr>
        <w:pStyle w:val="BodyText"/>
      </w:pPr>
    </w:p>
    <w:p>
      <w:pPr>
        <w:pStyle w:val="BodyText"/>
        <w:spacing w:before="1"/>
        <w:rPr>
          <w:sz w:val="31"/>
        </w:rPr>
      </w:pPr>
    </w:p>
    <w:p>
      <w:pPr>
        <w:pStyle w:val="BodyText"/>
        <w:spacing w:before="1"/>
        <w:ind w:left="831"/>
      </w:pPr>
      <w:r>
        <w:rPr>
          <w:spacing w:val="16"/>
        </w:rPr>
        <w:t>第 </w:t>
      </w:r>
      <w:r>
        <w:rPr/>
        <w:t>16</w:t>
      </w:r>
      <w:r>
        <w:rPr>
          <w:spacing w:val="7"/>
        </w:rPr>
        <w:t> 條</w:t>
      </w:r>
    </w:p>
    <w:p>
      <w:pPr>
        <w:pStyle w:val="BodyText"/>
      </w:pPr>
    </w:p>
    <w:p>
      <w:pPr>
        <w:pStyle w:val="BodyText"/>
      </w:pPr>
    </w:p>
    <w:p>
      <w:pPr>
        <w:pStyle w:val="BodyText"/>
      </w:pPr>
    </w:p>
    <w:p>
      <w:pPr>
        <w:pStyle w:val="BodyText"/>
        <w:spacing w:before="1"/>
        <w:rPr>
          <w:sz w:val="16"/>
        </w:rPr>
      </w:pPr>
    </w:p>
    <w:p>
      <w:pPr>
        <w:pStyle w:val="BodyText"/>
        <w:ind w:left="831"/>
      </w:pPr>
      <w:r>
        <w:rPr>
          <w:spacing w:val="16"/>
        </w:rPr>
        <w:t>第 </w:t>
      </w:r>
      <w:r>
        <w:rPr/>
        <w:t>17</w:t>
      </w:r>
      <w:r>
        <w:rPr>
          <w:spacing w:val="7"/>
        </w:rPr>
        <w:t> 條</w:t>
      </w:r>
    </w:p>
    <w:p>
      <w:pPr>
        <w:pStyle w:val="BodyText"/>
      </w:pPr>
    </w:p>
    <w:p>
      <w:pPr>
        <w:pStyle w:val="BodyText"/>
      </w:pPr>
    </w:p>
    <w:p>
      <w:pPr>
        <w:pStyle w:val="BodyText"/>
      </w:pPr>
    </w:p>
    <w:p>
      <w:pPr>
        <w:pStyle w:val="BodyText"/>
      </w:pPr>
    </w:p>
    <w:p>
      <w:pPr>
        <w:pStyle w:val="BodyText"/>
        <w:spacing w:before="1"/>
        <w:rPr>
          <w:sz w:val="23"/>
        </w:rPr>
      </w:pPr>
    </w:p>
    <w:p>
      <w:pPr>
        <w:pStyle w:val="BodyText"/>
        <w:ind w:left="831"/>
      </w:pPr>
      <w:r>
        <w:rPr>
          <w:spacing w:val="16"/>
        </w:rPr>
        <w:t>第 </w:t>
      </w:r>
      <w:r>
        <w:rPr/>
        <w:t>18</w:t>
      </w:r>
      <w:r>
        <w:rPr>
          <w:spacing w:val="7"/>
        </w:rPr>
        <w:t> 條</w:t>
      </w:r>
    </w:p>
    <w:p>
      <w:pPr>
        <w:pStyle w:val="BodyText"/>
      </w:pPr>
    </w:p>
    <w:p>
      <w:pPr>
        <w:pStyle w:val="BodyText"/>
        <w:spacing w:before="1"/>
        <w:rPr>
          <w:sz w:val="31"/>
        </w:rPr>
      </w:pPr>
    </w:p>
    <w:p>
      <w:pPr>
        <w:pStyle w:val="BodyText"/>
        <w:spacing w:before="1"/>
        <w:ind w:left="831"/>
      </w:pPr>
      <w:r>
        <w:rPr>
          <w:spacing w:val="16"/>
        </w:rPr>
        <w:t>第 </w:t>
      </w:r>
      <w:r>
        <w:rPr/>
        <w:t>19</w:t>
      </w:r>
      <w:r>
        <w:rPr>
          <w:spacing w:val="7"/>
        </w:rPr>
        <w:t> 條</w:t>
      </w:r>
    </w:p>
    <w:p>
      <w:pPr>
        <w:pStyle w:val="BodyText"/>
        <w:spacing w:line="316" w:lineRule="auto" w:before="76"/>
        <w:ind w:left="334" w:right="117"/>
        <w:jc w:val="both"/>
      </w:pPr>
      <w:r>
        <w:rPr/>
        <w:br w:type="column"/>
      </w:r>
      <w:r>
        <w:rPr>
          <w:spacing w:val="12"/>
        </w:rPr>
        <w:t>本法第六條第一項但書第三款、第九條第二項第二款、第十九條第一項第</w:t>
      </w:r>
      <w:r>
        <w:rPr>
          <w:spacing w:val="12"/>
        </w:rPr>
        <w:t>三款所稱當事人自行公開之個人資料，指當事人自行對不特定人或特定多</w:t>
      </w:r>
      <w:r>
        <w:rPr>
          <w:spacing w:val="11"/>
        </w:rPr>
        <w:t>數人揭露其個人資料。</w:t>
      </w:r>
    </w:p>
    <w:p>
      <w:pPr>
        <w:pStyle w:val="BodyText"/>
        <w:spacing w:line="316" w:lineRule="auto"/>
        <w:ind w:left="334" w:right="117"/>
        <w:jc w:val="both"/>
      </w:pPr>
      <w:r>
        <w:rPr>
          <w:spacing w:val="12"/>
        </w:rPr>
        <w:t>本法第六條第一項但書第三款、第九條第二項第二款、第十九條第一項第</w:t>
      </w:r>
      <w:r>
        <w:rPr>
          <w:spacing w:val="12"/>
        </w:rPr>
        <w:t>三款所稱已合法公開之個人資料，指依法律或法律具體明確授權之法規命令所公示、公告或以其他合法方式公開之個人資料。</w:t>
      </w:r>
    </w:p>
    <w:p>
      <w:pPr>
        <w:pStyle w:val="BodyText"/>
        <w:spacing w:before="11"/>
        <w:rPr>
          <w:sz w:val="16"/>
        </w:rPr>
      </w:pPr>
    </w:p>
    <w:p>
      <w:pPr>
        <w:pStyle w:val="BodyText"/>
        <w:spacing w:line="316" w:lineRule="auto"/>
        <w:ind w:left="334" w:right="117"/>
        <w:jc w:val="both"/>
      </w:pPr>
      <w:r>
        <w:rPr>
          <w:spacing w:val="12"/>
        </w:rPr>
        <w:t>本法第六條第一項但書第六款、第十一條第二項及第三項但書所定當事人</w:t>
      </w:r>
      <w:r>
        <w:rPr>
          <w:spacing w:val="12"/>
        </w:rPr>
        <w:t>書面同意之方式，依電子簽章法之規定，得以電子文件為之。</w:t>
      </w:r>
    </w:p>
    <w:p>
      <w:pPr>
        <w:pStyle w:val="BodyText"/>
        <w:rPr>
          <w:sz w:val="17"/>
        </w:rPr>
      </w:pPr>
    </w:p>
    <w:p>
      <w:pPr>
        <w:pStyle w:val="BodyText"/>
        <w:spacing w:line="316" w:lineRule="auto"/>
        <w:ind w:left="334" w:right="117"/>
        <w:jc w:val="both"/>
      </w:pPr>
      <w:r>
        <w:rPr>
          <w:spacing w:val="12"/>
        </w:rPr>
        <w:t>本法第七條第二項所定單獨所為之意思表示，如係與其他意思表示於同一</w:t>
      </w:r>
      <w:r>
        <w:rPr>
          <w:spacing w:val="14"/>
        </w:rPr>
        <w:t>書面為之者，蒐集者應於適當位置使當事人得以知悉其內容並確認同意。</w:t>
      </w:r>
    </w:p>
    <w:p>
      <w:pPr>
        <w:pStyle w:val="BodyText"/>
        <w:spacing w:before="1"/>
        <w:rPr>
          <w:sz w:val="17"/>
        </w:rPr>
      </w:pPr>
    </w:p>
    <w:p>
      <w:pPr>
        <w:pStyle w:val="BodyText"/>
        <w:spacing w:line="316" w:lineRule="auto"/>
        <w:ind w:left="334" w:right="117"/>
        <w:jc w:val="both"/>
      </w:pPr>
      <w:r>
        <w:rPr>
          <w:spacing w:val="12"/>
        </w:rPr>
        <w:t>依本法第八條、第九條及第五十四條所定告知之方式，得以言詞、書面、</w:t>
      </w:r>
      <w:r>
        <w:rPr>
          <w:spacing w:val="12"/>
        </w:rPr>
        <w:t>電話、簡訊、電子郵件、傳真、電子文件或其他足以使當事人知悉或可得</w:t>
      </w:r>
      <w:r>
        <w:rPr>
          <w:spacing w:val="11"/>
        </w:rPr>
        <w:t>知悉之方式為之。</w:t>
      </w:r>
    </w:p>
    <w:p>
      <w:pPr>
        <w:pStyle w:val="BodyText"/>
        <w:spacing w:before="13"/>
        <w:rPr>
          <w:sz w:val="16"/>
        </w:rPr>
      </w:pPr>
    </w:p>
    <w:p>
      <w:pPr>
        <w:pStyle w:val="BodyText"/>
        <w:spacing w:line="316" w:lineRule="auto" w:before="1"/>
        <w:ind w:left="334" w:right="117"/>
        <w:jc w:val="both"/>
      </w:pPr>
      <w:r>
        <w:rPr>
          <w:spacing w:val="12"/>
        </w:rPr>
        <w:t>本法第六條第一項但書第四款、第九條第二項第四款、第十六條但書第五</w:t>
      </w:r>
      <w:r>
        <w:rPr>
          <w:spacing w:val="12"/>
        </w:rPr>
        <w:t>款、第十九條第一項第四款及第二十條第一項但書第五款所稱無從識別特定當事人，指個人資料以代碼、匿名、隱藏部分資料或其他方式，無從辨</w:t>
      </w:r>
      <w:r>
        <w:rPr>
          <w:spacing w:val="11"/>
        </w:rPr>
        <w:t>識該特定個人者。</w:t>
      </w:r>
    </w:p>
    <w:p>
      <w:pPr>
        <w:pStyle w:val="BodyText"/>
        <w:spacing w:before="12"/>
        <w:rPr>
          <w:sz w:val="16"/>
        </w:rPr>
      </w:pPr>
    </w:p>
    <w:p>
      <w:pPr>
        <w:pStyle w:val="BodyText"/>
        <w:spacing w:line="316" w:lineRule="auto"/>
        <w:ind w:left="334" w:right="117"/>
        <w:jc w:val="both"/>
      </w:pPr>
      <w:r>
        <w:rPr>
          <w:spacing w:val="12"/>
        </w:rPr>
        <w:t>本法第十條但書第三款所稱妨害第三人之重大利益，指有害於第三人個人</w:t>
      </w:r>
      <w:r>
        <w:rPr>
          <w:spacing w:val="12"/>
        </w:rPr>
        <w:t>之生命、身體、自由、財產或其他重大利益。</w:t>
      </w:r>
    </w:p>
    <w:p>
      <w:pPr>
        <w:pStyle w:val="BodyText"/>
        <w:spacing w:before="1"/>
        <w:rPr>
          <w:sz w:val="17"/>
        </w:rPr>
      </w:pPr>
    </w:p>
    <w:p>
      <w:pPr>
        <w:pStyle w:val="BodyText"/>
        <w:spacing w:line="316" w:lineRule="auto"/>
        <w:ind w:left="334" w:right="117"/>
        <w:jc w:val="both"/>
      </w:pPr>
      <w:r>
        <w:rPr>
          <w:spacing w:val="12"/>
        </w:rPr>
        <w:t>當事人依本法第十一條第一項規定向公務機關或非公務機關請求更正或補</w:t>
      </w:r>
      <w:r>
        <w:rPr>
          <w:spacing w:val="12"/>
        </w:rPr>
        <w:t>充其個人資料時，應為適當之釋明。</w:t>
      </w:r>
    </w:p>
    <w:p>
      <w:pPr>
        <w:spacing w:after="0" w:line="316" w:lineRule="auto"/>
        <w:jc w:val="both"/>
        <w:sectPr>
          <w:type w:val="continuous"/>
          <w:pgSz w:w="11900" w:h="16840"/>
          <w:pgMar w:header="298" w:footer="283" w:top="760" w:bottom="480" w:left="820" w:right="1140"/>
          <w:cols w:num="2" w:equalWidth="0">
            <w:col w:w="1777" w:space="40"/>
            <w:col w:w="8123"/>
          </w:cols>
        </w:sectPr>
      </w:pPr>
    </w:p>
    <w:p>
      <w:pPr>
        <w:pStyle w:val="BodyText"/>
        <w:spacing w:before="75"/>
        <w:ind w:left="831"/>
      </w:pPr>
      <w:r>
        <w:rPr>
          <w:spacing w:val="16"/>
        </w:rPr>
        <w:t>第 </w:t>
      </w:r>
      <w:r>
        <w:rPr/>
        <w:t>20</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5"/>
        </w:rPr>
      </w:pPr>
    </w:p>
    <w:p>
      <w:pPr>
        <w:pStyle w:val="BodyText"/>
        <w:ind w:left="831"/>
      </w:pPr>
      <w:r>
        <w:rPr>
          <w:spacing w:val="16"/>
        </w:rPr>
        <w:t>第 </w:t>
      </w:r>
      <w:r>
        <w:rPr/>
        <w:t>21</w:t>
      </w:r>
      <w:r>
        <w:rPr>
          <w:spacing w:val="7"/>
        </w:rPr>
        <w:t> 條</w:t>
      </w:r>
    </w:p>
    <w:p>
      <w:pPr>
        <w:pStyle w:val="BodyText"/>
      </w:pPr>
    </w:p>
    <w:p>
      <w:pPr>
        <w:pStyle w:val="BodyText"/>
      </w:pPr>
    </w:p>
    <w:p>
      <w:pPr>
        <w:pStyle w:val="BodyText"/>
      </w:pPr>
    </w:p>
    <w:p>
      <w:pPr>
        <w:pStyle w:val="BodyText"/>
      </w:pPr>
    </w:p>
    <w:p>
      <w:pPr>
        <w:pStyle w:val="BodyText"/>
      </w:pPr>
    </w:p>
    <w:p>
      <w:pPr>
        <w:pStyle w:val="BodyText"/>
        <w:spacing w:before="1"/>
        <w:rPr>
          <w:sz w:val="30"/>
        </w:rPr>
      </w:pPr>
    </w:p>
    <w:p>
      <w:pPr>
        <w:pStyle w:val="BodyText"/>
        <w:ind w:left="831"/>
      </w:pPr>
      <w:r>
        <w:rPr>
          <w:spacing w:val="16"/>
        </w:rPr>
        <w:t>第 </w:t>
      </w:r>
      <w:r>
        <w:rPr/>
        <w:t>22</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5"/>
        </w:rPr>
      </w:pPr>
    </w:p>
    <w:p>
      <w:pPr>
        <w:pStyle w:val="BodyText"/>
        <w:ind w:left="831"/>
      </w:pPr>
      <w:r>
        <w:rPr>
          <w:spacing w:val="16"/>
        </w:rPr>
        <w:t>第 </w:t>
      </w:r>
      <w:r>
        <w:rPr/>
        <w:t>23</w:t>
      </w:r>
      <w:r>
        <w:rPr>
          <w:spacing w:val="7"/>
        </w:rPr>
        <w:t> 條</w:t>
      </w:r>
    </w:p>
    <w:p>
      <w:pPr>
        <w:pStyle w:val="BodyText"/>
      </w:pPr>
    </w:p>
    <w:p>
      <w:pPr>
        <w:pStyle w:val="BodyText"/>
      </w:pPr>
    </w:p>
    <w:p>
      <w:pPr>
        <w:pStyle w:val="BodyText"/>
      </w:pPr>
    </w:p>
    <w:p>
      <w:pPr>
        <w:pStyle w:val="BodyText"/>
      </w:pPr>
    </w:p>
    <w:p>
      <w:pPr>
        <w:pStyle w:val="BodyText"/>
        <w:spacing w:before="1"/>
        <w:rPr>
          <w:sz w:val="23"/>
        </w:rPr>
      </w:pPr>
    </w:p>
    <w:p>
      <w:pPr>
        <w:pStyle w:val="BodyText"/>
        <w:ind w:left="831"/>
      </w:pPr>
      <w:r>
        <w:rPr>
          <w:spacing w:val="16"/>
        </w:rPr>
        <w:t>第 </w:t>
      </w:r>
      <w:r>
        <w:rPr/>
        <w:t>24</w:t>
      </w:r>
      <w:r>
        <w:rPr>
          <w:spacing w:val="7"/>
        </w:rPr>
        <w:t> 條</w:t>
      </w:r>
    </w:p>
    <w:p>
      <w:pPr>
        <w:pStyle w:val="BodyText"/>
        <w:spacing w:before="2"/>
        <w:rPr>
          <w:sz w:val="24"/>
        </w:rPr>
      </w:pPr>
    </w:p>
    <w:p>
      <w:pPr>
        <w:pStyle w:val="BodyText"/>
        <w:ind w:left="831"/>
      </w:pPr>
      <w:r>
        <w:rPr>
          <w:spacing w:val="16"/>
        </w:rPr>
        <w:t>第 </w:t>
      </w:r>
      <w:r>
        <w:rPr/>
        <w:t>25</w:t>
      </w:r>
      <w:r>
        <w:rPr>
          <w:spacing w:val="7"/>
        </w:rPr>
        <w:t> 條</w:t>
      </w:r>
    </w:p>
    <w:p>
      <w:pPr>
        <w:pStyle w:val="BodyText"/>
      </w:pPr>
    </w:p>
    <w:p>
      <w:pPr>
        <w:pStyle w:val="BodyText"/>
      </w:pPr>
    </w:p>
    <w:p>
      <w:pPr>
        <w:pStyle w:val="BodyText"/>
      </w:pPr>
    </w:p>
    <w:p>
      <w:pPr>
        <w:pStyle w:val="BodyText"/>
      </w:pPr>
    </w:p>
    <w:p>
      <w:pPr>
        <w:pStyle w:val="BodyText"/>
        <w:spacing w:before="1"/>
        <w:rPr>
          <w:sz w:val="23"/>
        </w:rPr>
      </w:pPr>
    </w:p>
    <w:p>
      <w:pPr>
        <w:pStyle w:val="BodyText"/>
        <w:ind w:left="831"/>
      </w:pPr>
      <w:r>
        <w:rPr>
          <w:spacing w:val="16"/>
        </w:rPr>
        <w:t>第 </w:t>
      </w:r>
      <w:r>
        <w:rPr/>
        <w:t>26</w:t>
      </w:r>
      <w:r>
        <w:rPr>
          <w:spacing w:val="7"/>
        </w:rPr>
        <w:t> 條</w:t>
      </w:r>
    </w:p>
    <w:p>
      <w:pPr>
        <w:pStyle w:val="BodyText"/>
      </w:pPr>
    </w:p>
    <w:p>
      <w:pPr>
        <w:pStyle w:val="BodyText"/>
        <w:spacing w:before="1"/>
        <w:rPr>
          <w:sz w:val="31"/>
        </w:rPr>
      </w:pPr>
    </w:p>
    <w:p>
      <w:pPr>
        <w:pStyle w:val="BodyText"/>
        <w:spacing w:before="1"/>
        <w:ind w:left="831"/>
      </w:pPr>
      <w:r>
        <w:rPr>
          <w:spacing w:val="16"/>
        </w:rPr>
        <w:t>第 </w:t>
      </w:r>
      <w:r>
        <w:rPr/>
        <w:t>27</w:t>
      </w:r>
      <w:r>
        <w:rPr>
          <w:spacing w:val="7"/>
        </w:rPr>
        <w:t> 條</w:t>
      </w:r>
    </w:p>
    <w:p>
      <w:pPr>
        <w:pStyle w:val="BodyText"/>
        <w:spacing w:line="316" w:lineRule="auto" w:before="90"/>
        <w:ind w:left="334" w:right="1077"/>
      </w:pPr>
      <w:r>
        <w:rPr/>
        <w:br w:type="column"/>
      </w:r>
      <w:r>
        <w:rPr>
          <w:spacing w:val="12"/>
        </w:rPr>
        <w:t>本法第十一條第三項所稱特定目的消失，指下列各款情形之一：</w:t>
      </w:r>
      <w:r>
        <w:rPr>
          <w:spacing w:val="12"/>
        </w:rPr>
        <w:t>一、公務機關經裁撤或改組而無承受業務機關。</w:t>
      </w:r>
    </w:p>
    <w:p>
      <w:pPr>
        <w:pStyle w:val="BodyText"/>
        <w:spacing w:line="316" w:lineRule="auto"/>
        <w:ind w:left="814" w:right="117" w:hanging="481"/>
      </w:pPr>
      <w:r>
        <w:rPr>
          <w:spacing w:val="12"/>
        </w:rPr>
        <w:t>二、非公務機關歇業、解散而無承受機關，或所營事業營業項目變更而與</w:t>
      </w:r>
      <w:r>
        <w:rPr>
          <w:spacing w:val="11"/>
        </w:rPr>
        <w:t>原蒐集目的不符。</w:t>
      </w:r>
    </w:p>
    <w:p>
      <w:pPr>
        <w:pStyle w:val="BodyText"/>
        <w:spacing w:line="316" w:lineRule="auto"/>
        <w:ind w:left="334" w:right="2278"/>
      </w:pPr>
      <w:r>
        <w:rPr>
          <w:spacing w:val="12"/>
        </w:rPr>
        <w:t>三、特定目的已達成而無繼續處理或利用之必要。</w:t>
      </w:r>
      <w:r>
        <w:rPr>
          <w:spacing w:val="80"/>
          <w:w w:val="150"/>
        </w:rPr>
        <w:t> </w:t>
      </w:r>
      <w:r>
        <w:rPr>
          <w:spacing w:val="12"/>
        </w:rPr>
        <w:t>四、其他事由足認該特定目的已無法達成或不存在。</w:t>
      </w:r>
    </w:p>
    <w:p>
      <w:pPr>
        <w:pStyle w:val="BodyText"/>
        <w:spacing w:before="11"/>
        <w:rPr>
          <w:sz w:val="16"/>
        </w:rPr>
      </w:pPr>
    </w:p>
    <w:p>
      <w:pPr>
        <w:pStyle w:val="BodyText"/>
        <w:spacing w:line="316" w:lineRule="auto"/>
        <w:ind w:left="334" w:right="117"/>
      </w:pPr>
      <w:r>
        <w:rPr>
          <w:spacing w:val="12"/>
        </w:rPr>
        <w:t>有下列各款情形之一者，屬於本法第十一條第三項但書所定因執行職務或</w:t>
      </w:r>
      <w:r>
        <w:rPr>
          <w:spacing w:val="10"/>
        </w:rPr>
        <w:t>業務所必須：</w:t>
      </w:r>
    </w:p>
    <w:p>
      <w:pPr>
        <w:pStyle w:val="BodyText"/>
        <w:spacing w:line="306" w:lineRule="exact"/>
        <w:ind w:left="334"/>
      </w:pPr>
      <w:r>
        <w:rPr>
          <w:spacing w:val="13"/>
        </w:rPr>
        <w:t>一、有法令規定或契約約定之保存期限。</w:t>
      </w:r>
    </w:p>
    <w:p>
      <w:pPr>
        <w:pStyle w:val="BodyText"/>
        <w:spacing w:line="316" w:lineRule="auto" w:before="97"/>
        <w:ind w:left="334" w:right="2278"/>
      </w:pPr>
      <w:r>
        <w:rPr>
          <w:spacing w:val="12"/>
        </w:rPr>
        <w:t>二、有理由足認刪除將侵害當事人值得保護之利益。</w:t>
      </w:r>
      <w:r>
        <w:rPr>
          <w:spacing w:val="12"/>
        </w:rPr>
        <w:t>三、其他不能刪除之正當事由。</w:t>
      </w:r>
    </w:p>
    <w:p>
      <w:pPr>
        <w:pStyle w:val="BodyText"/>
        <w:spacing w:before="1"/>
        <w:rPr>
          <w:sz w:val="17"/>
        </w:rPr>
      </w:pPr>
    </w:p>
    <w:p>
      <w:pPr>
        <w:pStyle w:val="BodyText"/>
        <w:spacing w:line="316" w:lineRule="auto"/>
        <w:ind w:left="334" w:right="117"/>
      </w:pPr>
      <w:r>
        <w:rPr>
          <w:spacing w:val="12"/>
        </w:rPr>
        <w:t>本法第十二條所稱適當方式通知，指即時以言詞、書面、電話、簡訊、電</w:t>
      </w:r>
      <w:r>
        <w:rPr>
          <w:spacing w:val="14"/>
        </w:rPr>
        <w:t>子郵件、傳真、電子文件或其他足以使當事人知悉或可得知悉之方式為之</w:t>
      </w:r>
    </w:p>
    <w:p>
      <w:pPr>
        <w:pStyle w:val="BodyText"/>
        <w:spacing w:line="306" w:lineRule="exact"/>
        <w:ind w:left="334"/>
      </w:pPr>
      <w:r>
        <w:rPr>
          <w:spacing w:val="14"/>
        </w:rPr>
        <w:t>。但需費過鉅者，得斟酌技術之可行性及當事人隱私之保護，以網際網路</w:t>
      </w:r>
    </w:p>
    <w:p>
      <w:pPr>
        <w:pStyle w:val="BodyText"/>
        <w:spacing w:before="97"/>
        <w:ind w:left="334"/>
      </w:pPr>
      <w:r>
        <w:rPr>
          <w:spacing w:val="13"/>
        </w:rPr>
        <w:t>、新聞媒體或其他適當公開方式為之。</w:t>
      </w:r>
    </w:p>
    <w:p>
      <w:pPr>
        <w:pStyle w:val="BodyText"/>
        <w:spacing w:line="316" w:lineRule="auto" w:before="98"/>
        <w:ind w:left="334" w:right="117"/>
      </w:pPr>
      <w:r>
        <w:rPr>
          <w:spacing w:val="12"/>
        </w:rPr>
        <w:t>依本法第十二條規定通知當事人，其內容應包括個人資料被侵害之事實及</w:t>
      </w:r>
      <w:r>
        <w:rPr>
          <w:spacing w:val="11"/>
        </w:rPr>
        <w:t>已採取之因應措施。</w:t>
      </w:r>
    </w:p>
    <w:p>
      <w:pPr>
        <w:pStyle w:val="BodyText"/>
        <w:rPr>
          <w:sz w:val="17"/>
        </w:rPr>
      </w:pPr>
    </w:p>
    <w:p>
      <w:pPr>
        <w:pStyle w:val="BodyText"/>
        <w:spacing w:line="316" w:lineRule="auto"/>
        <w:ind w:left="334" w:right="117"/>
      </w:pPr>
      <w:r>
        <w:rPr>
          <w:spacing w:val="12"/>
        </w:rPr>
        <w:t>公務機關依本法第十七條規定為公開，應於建立個人資料檔案後一個月內</w:t>
      </w:r>
      <w:r>
        <w:rPr>
          <w:spacing w:val="12"/>
        </w:rPr>
        <w:t>為之；變更時，亦同。公開方式應予以特定，並避免任意變更。</w:t>
      </w:r>
    </w:p>
    <w:p>
      <w:pPr>
        <w:pStyle w:val="BodyText"/>
        <w:spacing w:line="316" w:lineRule="auto"/>
        <w:ind w:left="334" w:right="117"/>
      </w:pPr>
      <w:r>
        <w:rPr>
          <w:spacing w:val="12"/>
        </w:rPr>
        <w:t>本法第十七條所稱其他適當方式，指利用政府公報、新聞紙、雜誌、電子</w:t>
      </w:r>
      <w:r>
        <w:rPr>
          <w:spacing w:val="12"/>
        </w:rPr>
        <w:t>報或其他可供公眾查閱之方式為公開。</w:t>
      </w:r>
    </w:p>
    <w:p>
      <w:pPr>
        <w:pStyle w:val="BodyText"/>
        <w:spacing w:before="13"/>
        <w:rPr>
          <w:sz w:val="16"/>
        </w:rPr>
      </w:pPr>
    </w:p>
    <w:p>
      <w:pPr>
        <w:pStyle w:val="BodyText"/>
        <w:ind w:left="334"/>
      </w:pPr>
      <w:r>
        <w:rPr>
          <w:spacing w:val="14"/>
        </w:rPr>
        <w:t>公務機關保有個人資料檔案者，應訂定個人資料安全維護規定。</w:t>
      </w:r>
    </w:p>
    <w:p>
      <w:pPr>
        <w:pStyle w:val="BodyText"/>
        <w:spacing w:before="2"/>
        <w:rPr>
          <w:sz w:val="24"/>
        </w:rPr>
      </w:pPr>
    </w:p>
    <w:p>
      <w:pPr>
        <w:pStyle w:val="BodyText"/>
        <w:spacing w:line="316" w:lineRule="auto"/>
        <w:ind w:left="334" w:right="117"/>
      </w:pPr>
      <w:r>
        <w:rPr>
          <w:spacing w:val="12"/>
        </w:rPr>
        <w:t>本法第十八條所稱專人，指具有管理及維護個人資料檔案之能力，且足以</w:t>
      </w:r>
      <w:r>
        <w:rPr>
          <w:spacing w:val="12"/>
        </w:rPr>
        <w:t>擔任機關之個人資料檔案安全維護經常性工作之人員。</w:t>
      </w:r>
    </w:p>
    <w:p>
      <w:pPr>
        <w:pStyle w:val="BodyText"/>
        <w:spacing w:line="316" w:lineRule="auto"/>
        <w:ind w:left="334" w:right="117"/>
      </w:pPr>
      <w:r>
        <w:rPr>
          <w:spacing w:val="12"/>
        </w:rPr>
        <w:t>公務機關為使專人具有辦理安全維護事項之能力，應辦理或使專人接受相</w:t>
      </w:r>
      <w:r>
        <w:rPr>
          <w:spacing w:val="11"/>
        </w:rPr>
        <w:t>關專業之教育訓練。</w:t>
      </w:r>
    </w:p>
    <w:p>
      <w:pPr>
        <w:pStyle w:val="BodyText"/>
        <w:spacing w:before="13"/>
        <w:rPr>
          <w:sz w:val="16"/>
        </w:rPr>
      </w:pPr>
    </w:p>
    <w:p>
      <w:pPr>
        <w:pStyle w:val="BodyText"/>
        <w:spacing w:line="316" w:lineRule="auto"/>
        <w:ind w:left="334" w:right="117"/>
      </w:pPr>
      <w:r>
        <w:rPr>
          <w:spacing w:val="12"/>
        </w:rPr>
        <w:t>本法第十九條第一項第二款所定契約或類似契約之關係，不以本法修正施</w:t>
      </w:r>
      <w:r>
        <w:rPr>
          <w:spacing w:val="11"/>
        </w:rPr>
        <w:t>行後成立者為限。</w:t>
      </w:r>
    </w:p>
    <w:p>
      <w:pPr>
        <w:pStyle w:val="BodyText"/>
        <w:rPr>
          <w:sz w:val="17"/>
        </w:rPr>
      </w:pPr>
    </w:p>
    <w:p>
      <w:pPr>
        <w:pStyle w:val="BodyText"/>
        <w:spacing w:line="316" w:lineRule="auto" w:before="1"/>
        <w:ind w:left="334" w:right="117"/>
        <w:jc w:val="both"/>
      </w:pPr>
      <w:r>
        <w:rPr>
          <w:spacing w:val="12"/>
        </w:rPr>
        <w:t>本法第十九條第一項第二款所定契約關係，包括本約，及非公務機關與當</w:t>
      </w:r>
      <w:r>
        <w:rPr>
          <w:spacing w:val="12"/>
        </w:rPr>
        <w:t>事人間為履行該契約，所涉及必要第三人之接觸、磋商或聯繫行為及給付</w:t>
      </w:r>
      <w:r>
        <w:rPr>
          <w:spacing w:val="11"/>
        </w:rPr>
        <w:t>或向其為給付之行為。</w:t>
      </w:r>
    </w:p>
    <w:p>
      <w:pPr>
        <w:pStyle w:val="BodyText"/>
        <w:spacing w:line="316" w:lineRule="auto"/>
        <w:ind w:left="334" w:right="117"/>
        <w:jc w:val="both"/>
      </w:pPr>
      <w:r>
        <w:rPr>
          <w:spacing w:val="12"/>
        </w:rPr>
        <w:t>本法第十九條第一項第二款所稱類似契約之關係，指下列情形之一者：</w:t>
      </w:r>
      <w:r>
        <w:rPr>
          <w:spacing w:val="40"/>
        </w:rPr>
        <w:t>  </w:t>
      </w:r>
      <w:r>
        <w:rPr>
          <w:spacing w:val="12"/>
        </w:rPr>
        <w:t>一、非公務機關與當事人間於契約成立前，為準備或商議訂立契約或為交</w:t>
      </w:r>
    </w:p>
    <w:p>
      <w:pPr>
        <w:spacing w:after="0" w:line="316" w:lineRule="auto"/>
        <w:jc w:val="both"/>
        <w:sectPr>
          <w:pgSz w:w="11900" w:h="16840"/>
          <w:pgMar w:header="298" w:footer="283" w:top="760" w:bottom="480" w:left="820" w:right="1140"/>
          <w:cols w:num="2" w:equalWidth="0">
            <w:col w:w="1777" w:space="40"/>
            <w:col w:w="8123"/>
          </w:cols>
        </w:sectPr>
      </w:pPr>
    </w:p>
    <w:p>
      <w:pPr>
        <w:pStyle w:val="BodyText"/>
        <w:spacing w:before="60"/>
        <w:ind w:left="2631"/>
        <w:jc w:val="both"/>
      </w:pPr>
      <w:r>
        <w:rPr>
          <w:spacing w:val="13"/>
        </w:rPr>
        <w:t>易之目的，所進行之接觸或磋商行為。</w:t>
      </w:r>
    </w:p>
    <w:p>
      <w:pPr>
        <w:pStyle w:val="BodyText"/>
        <w:spacing w:line="316" w:lineRule="auto" w:before="97"/>
        <w:ind w:left="2631" w:right="117" w:hanging="481"/>
        <w:jc w:val="both"/>
      </w:pPr>
      <w:r>
        <w:rPr>
          <w:spacing w:val="12"/>
        </w:rPr>
        <w:t>二、契約因無效、撤銷、解除、終止而消滅或履行完成時，非公務機關與</w:t>
      </w:r>
      <w:r>
        <w:rPr>
          <w:spacing w:val="12"/>
        </w:rPr>
        <w:t>當事人為行使權利、履行義務，或確保個人資料完整性之目的所為之</w:t>
      </w:r>
      <w:r>
        <w:rPr>
          <w:spacing w:val="8"/>
        </w:rPr>
        <w:t>連繫行為。</w:t>
      </w:r>
    </w:p>
    <w:p>
      <w:pPr>
        <w:pStyle w:val="BodyText"/>
        <w:spacing w:before="9"/>
        <w:rPr>
          <w:sz w:val="12"/>
        </w:rPr>
      </w:pPr>
    </w:p>
    <w:p>
      <w:pPr>
        <w:spacing w:after="0"/>
        <w:rPr>
          <w:sz w:val="12"/>
        </w:rPr>
        <w:sectPr>
          <w:pgSz w:w="11900" w:h="16840"/>
          <w:pgMar w:header="298" w:footer="283" w:top="760" w:bottom="480" w:left="820" w:right="1140"/>
        </w:sectPr>
      </w:pPr>
    </w:p>
    <w:p>
      <w:pPr>
        <w:pStyle w:val="BodyText"/>
        <w:spacing w:before="61"/>
        <w:ind w:left="831"/>
      </w:pPr>
      <w:r>
        <w:rPr>
          <w:spacing w:val="16"/>
        </w:rPr>
        <w:t>第 </w:t>
      </w:r>
      <w:r>
        <w:rPr/>
        <w:t>28</w:t>
      </w:r>
      <w:r>
        <w:rPr>
          <w:spacing w:val="7"/>
        </w:rPr>
        <w:t> 條</w:t>
      </w:r>
    </w:p>
    <w:p>
      <w:pPr>
        <w:pStyle w:val="BodyText"/>
      </w:pPr>
    </w:p>
    <w:p>
      <w:pPr>
        <w:pStyle w:val="BodyText"/>
      </w:pPr>
    </w:p>
    <w:p>
      <w:pPr>
        <w:pStyle w:val="BodyText"/>
      </w:pPr>
    </w:p>
    <w:p>
      <w:pPr>
        <w:pStyle w:val="BodyText"/>
        <w:spacing w:before="1"/>
        <w:rPr>
          <w:sz w:val="16"/>
        </w:rPr>
      </w:pPr>
    </w:p>
    <w:p>
      <w:pPr>
        <w:pStyle w:val="BodyText"/>
        <w:ind w:left="831"/>
      </w:pPr>
      <w:r>
        <w:rPr>
          <w:spacing w:val="16"/>
        </w:rPr>
        <w:t>第 </w:t>
      </w:r>
      <w:r>
        <w:rPr/>
        <w:t>29</w:t>
      </w:r>
      <w:r>
        <w:rPr>
          <w:spacing w:val="7"/>
        </w:rPr>
        <w:t> 條</w:t>
      </w:r>
    </w:p>
    <w:p>
      <w:pPr>
        <w:pStyle w:val="BodyText"/>
        <w:spacing w:before="2"/>
        <w:rPr>
          <w:sz w:val="24"/>
        </w:rPr>
      </w:pPr>
    </w:p>
    <w:p>
      <w:pPr>
        <w:pStyle w:val="BodyText"/>
        <w:ind w:left="831"/>
      </w:pPr>
      <w:r>
        <w:rPr>
          <w:spacing w:val="16"/>
        </w:rPr>
        <w:t>第 </w:t>
      </w:r>
      <w:r>
        <w:rPr/>
        <w:t>30</w:t>
      </w:r>
      <w:r>
        <w:rPr>
          <w:spacing w:val="7"/>
        </w:rPr>
        <w:t> 條</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5"/>
        </w:rPr>
      </w:pPr>
    </w:p>
    <w:p>
      <w:pPr>
        <w:pStyle w:val="BodyText"/>
        <w:spacing w:before="1"/>
        <w:ind w:left="831"/>
      </w:pPr>
      <w:r>
        <w:rPr>
          <w:spacing w:val="16"/>
        </w:rPr>
        <w:t>第 </w:t>
      </w:r>
      <w:r>
        <w:rPr/>
        <w:t>31</w:t>
      </w:r>
      <w:r>
        <w:rPr>
          <w:spacing w:val="7"/>
        </w:rPr>
        <w:t> 條</w:t>
      </w:r>
    </w:p>
    <w:p>
      <w:pPr>
        <w:pStyle w:val="BodyText"/>
      </w:pPr>
    </w:p>
    <w:p>
      <w:pPr>
        <w:pStyle w:val="BodyText"/>
        <w:spacing w:before="1"/>
        <w:rPr>
          <w:sz w:val="31"/>
        </w:rPr>
      </w:pPr>
    </w:p>
    <w:p>
      <w:pPr>
        <w:pStyle w:val="BodyText"/>
        <w:ind w:left="831"/>
      </w:pPr>
      <w:r>
        <w:rPr>
          <w:spacing w:val="16"/>
        </w:rPr>
        <w:t>第 </w:t>
      </w:r>
      <w:r>
        <w:rPr/>
        <w:t>32</w:t>
      </w:r>
      <w:r>
        <w:rPr>
          <w:spacing w:val="7"/>
        </w:rPr>
        <w:t> 條</w:t>
      </w:r>
    </w:p>
    <w:p>
      <w:pPr>
        <w:pStyle w:val="BodyText"/>
      </w:pPr>
    </w:p>
    <w:p>
      <w:pPr>
        <w:pStyle w:val="BodyText"/>
      </w:pPr>
    </w:p>
    <w:p>
      <w:pPr>
        <w:pStyle w:val="BodyText"/>
      </w:pPr>
    </w:p>
    <w:p>
      <w:pPr>
        <w:pStyle w:val="BodyText"/>
        <w:spacing w:before="1"/>
        <w:rPr>
          <w:sz w:val="16"/>
        </w:rPr>
      </w:pPr>
    </w:p>
    <w:p>
      <w:pPr>
        <w:pStyle w:val="BodyText"/>
        <w:spacing w:before="1"/>
        <w:ind w:left="831"/>
      </w:pPr>
      <w:r>
        <w:rPr>
          <w:spacing w:val="16"/>
        </w:rPr>
        <w:t>第 </w:t>
      </w:r>
      <w:r>
        <w:rPr/>
        <w:t>33</w:t>
      </w:r>
      <w:r>
        <w:rPr>
          <w:spacing w:val="7"/>
        </w:rPr>
        <w:t> 條</w:t>
      </w:r>
    </w:p>
    <w:p>
      <w:pPr>
        <w:pStyle w:val="BodyText"/>
        <w:spacing w:line="316" w:lineRule="auto" w:before="76"/>
        <w:ind w:left="334" w:right="117"/>
        <w:jc w:val="both"/>
      </w:pPr>
      <w:r>
        <w:rPr/>
        <w:br w:type="column"/>
      </w:r>
      <w:r>
        <w:rPr>
          <w:spacing w:val="12"/>
        </w:rPr>
        <w:t>本法第十九條第一項第七款所稱一般可得之來源，指透過大眾傳播、網際</w:t>
      </w:r>
      <w:r>
        <w:rPr>
          <w:spacing w:val="12"/>
        </w:rPr>
        <w:t>網路、新聞、雜誌、政府公報及其他一般人可得知悉或接觸而取得個人資</w:t>
      </w:r>
      <w:r>
        <w:rPr>
          <w:spacing w:val="8"/>
        </w:rPr>
        <w:t>料之管道。</w:t>
      </w:r>
    </w:p>
    <w:p>
      <w:pPr>
        <w:pStyle w:val="BodyText"/>
        <w:spacing w:before="13"/>
        <w:rPr>
          <w:sz w:val="16"/>
        </w:rPr>
      </w:pPr>
    </w:p>
    <w:p>
      <w:pPr>
        <w:pStyle w:val="BodyText"/>
        <w:spacing w:before="1"/>
        <w:ind w:left="334"/>
        <w:jc w:val="both"/>
      </w:pPr>
      <w:r>
        <w:rPr>
          <w:spacing w:val="14"/>
        </w:rPr>
        <w:t>依本法第二十二條規定實施檢查時，應注意保守秘密及被檢查者之名譽。</w:t>
      </w:r>
    </w:p>
    <w:p>
      <w:pPr>
        <w:pStyle w:val="BodyText"/>
        <w:spacing w:before="1"/>
        <w:rPr>
          <w:sz w:val="24"/>
        </w:rPr>
      </w:pPr>
    </w:p>
    <w:p>
      <w:pPr>
        <w:pStyle w:val="BodyText"/>
        <w:spacing w:line="316" w:lineRule="auto" w:before="1"/>
        <w:ind w:left="334" w:right="117"/>
      </w:pPr>
      <w:r>
        <w:rPr>
          <w:spacing w:val="12"/>
        </w:rPr>
        <w:t>依本法第二十二條第二項規定，扣留或複製得沒入或可為證據之個人資料</w:t>
      </w:r>
      <w:r>
        <w:rPr>
          <w:spacing w:val="12"/>
        </w:rPr>
        <w:t>或其檔案時，應掣給收據，載明其名稱、數量、所有人、地點及時間。</w:t>
      </w:r>
      <w:r>
        <w:rPr>
          <w:spacing w:val="40"/>
        </w:rPr>
        <w:t>  </w:t>
      </w:r>
      <w:r>
        <w:rPr>
          <w:spacing w:val="12"/>
        </w:rPr>
        <w:t>依本法第二十二條第一項及第二項規定實施檢查後，應作成紀錄。</w:t>
      </w:r>
    </w:p>
    <w:p>
      <w:pPr>
        <w:pStyle w:val="BodyText"/>
        <w:spacing w:line="316" w:lineRule="auto"/>
        <w:ind w:left="334" w:right="117"/>
      </w:pPr>
      <w:r>
        <w:rPr>
          <w:spacing w:val="12"/>
        </w:rPr>
        <w:t>前項紀錄當場作成者，應使被檢查者閱覽及簽名，並即將副本交付被檢查</w:t>
      </w:r>
      <w:r>
        <w:rPr>
          <w:spacing w:val="12"/>
        </w:rPr>
        <w:t>者；其拒絕簽名者，應記明其事由。</w:t>
      </w:r>
    </w:p>
    <w:p>
      <w:pPr>
        <w:pStyle w:val="BodyText"/>
        <w:spacing w:line="306" w:lineRule="exact"/>
        <w:ind w:left="334"/>
      </w:pPr>
      <w:r>
        <w:rPr>
          <w:spacing w:val="14"/>
        </w:rPr>
        <w:t>紀錄於事後作成者，應送達被檢查者，並告知得於一定期限內陳述意見。</w:t>
      </w:r>
    </w:p>
    <w:p>
      <w:pPr>
        <w:pStyle w:val="BodyText"/>
        <w:spacing w:before="13"/>
        <w:rPr>
          <w:sz w:val="23"/>
        </w:rPr>
      </w:pPr>
    </w:p>
    <w:p>
      <w:pPr>
        <w:pStyle w:val="BodyText"/>
        <w:spacing w:line="316" w:lineRule="auto"/>
        <w:ind w:left="334" w:right="117"/>
      </w:pPr>
      <w:r>
        <w:rPr>
          <w:spacing w:val="12"/>
        </w:rPr>
        <w:t>本法第五十二條第一項所稱之公益團體，指依民法或其他法律設立並具備</w:t>
      </w:r>
      <w:r>
        <w:rPr>
          <w:spacing w:val="12"/>
        </w:rPr>
        <w:t>個人資料保護專業能力之公益社團法人、財團法人及行政法人。</w:t>
      </w:r>
    </w:p>
    <w:p>
      <w:pPr>
        <w:pStyle w:val="BodyText"/>
        <w:rPr>
          <w:sz w:val="17"/>
        </w:rPr>
      </w:pPr>
    </w:p>
    <w:p>
      <w:pPr>
        <w:pStyle w:val="BodyText"/>
        <w:spacing w:line="316" w:lineRule="auto"/>
        <w:ind w:left="334" w:right="117"/>
        <w:jc w:val="both"/>
      </w:pPr>
      <w:r>
        <w:rPr>
          <w:spacing w:val="12"/>
        </w:rPr>
        <w:t>本法修正施行前已蒐集或處理由當事人提供之個人資料，於修正施行後，</w:t>
      </w:r>
      <w:r>
        <w:rPr>
          <w:spacing w:val="12"/>
        </w:rPr>
        <w:t>得繼續為處理及特定目的內之利用；其為特定目的外之利用者，應依本法</w:t>
      </w:r>
      <w:r>
        <w:rPr>
          <w:spacing w:val="11"/>
        </w:rPr>
        <w:t>修正施行後之規定為之。</w:t>
      </w:r>
    </w:p>
    <w:p>
      <w:pPr>
        <w:pStyle w:val="BodyText"/>
        <w:rPr>
          <w:sz w:val="17"/>
        </w:rPr>
      </w:pPr>
    </w:p>
    <w:p>
      <w:pPr>
        <w:pStyle w:val="BodyText"/>
        <w:ind w:left="334"/>
      </w:pPr>
      <w:r>
        <w:rPr>
          <w:spacing w:val="13"/>
        </w:rPr>
        <w:t>本細則施行日期，由法務部定之。</w:t>
      </w:r>
    </w:p>
    <w:p>
      <w:pPr>
        <w:spacing w:after="0"/>
        <w:sectPr>
          <w:type w:val="continuous"/>
          <w:pgSz w:w="11900" w:h="16840"/>
          <w:pgMar w:header="298" w:footer="283" w:top="760" w:bottom="480" w:left="820" w:right="1140"/>
          <w:cols w:num="2" w:equalWidth="0">
            <w:col w:w="1777" w:space="40"/>
            <w:col w:w="8123"/>
          </w:cols>
        </w:sectPr>
      </w:pPr>
    </w:p>
    <w:p>
      <w:pPr>
        <w:pStyle w:val="BodyText"/>
        <w:rPr>
          <w:sz w:val="20"/>
        </w:rPr>
      </w:pPr>
      <w:r>
        <w:rPr/>
        <w:pict>
          <v:rect style="position:absolute;margin-left:46.503628pt;margin-top:541.743103pt;width:502.743085pt;height:.750363pt;mso-position-horizontal-relative:page;mso-position-vertical-relative:page;z-index:15729664" id="docshape12" filled="true" fillcolor="#bfbfbf" stroked="false">
            <v:fill type="solid"/>
            <w10:wrap type="none"/>
          </v:rect>
        </w:pict>
      </w:r>
    </w:p>
    <w:p>
      <w:pPr>
        <w:pStyle w:val="BodyText"/>
        <w:spacing w:before="8"/>
        <w:rPr>
          <w:sz w:val="19"/>
        </w:rPr>
      </w:pPr>
    </w:p>
    <w:p>
      <w:pPr>
        <w:spacing w:before="64"/>
        <w:ind w:left="110" w:right="0" w:firstLine="0"/>
        <w:jc w:val="left"/>
        <w:rPr>
          <w:sz w:val="18"/>
        </w:rPr>
      </w:pPr>
      <w:r>
        <w:rPr>
          <w:spacing w:val="-1"/>
          <w:sz w:val="18"/>
        </w:rPr>
        <w:t>資料來源：全國法規資料庫</w:t>
      </w:r>
    </w:p>
    <w:sectPr>
      <w:type w:val="continuous"/>
      <w:pgSz w:w="11900" w:h="16840"/>
      <w:pgMar w:header="298" w:footer="283" w:top="760" w:bottom="480" w:left="8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新細明體">
    <w:altName w:val="新細明體"/>
    <w:charset w:val="88"/>
    <w:family w:val="roman"/>
    <w:pitch w:val="variable"/>
  </w:font>
  <w:font w:name="Arial">
    <w:altName w:val="Arial"/>
    <w:charset w:val="0"/>
    <w:family w:val="swiss"/>
    <w:pitch w:val="variable"/>
  </w:font>
  <w:font w:name="Microsoft JhengHei UI">
    <w:altName w:val="Microsoft JhengHei UI"/>
    <w:charset w:val="88"/>
    <w:family w:val="swiss"/>
    <w:pitch w:val="variable"/>
  </w:font>
  <w:font w:name="細明體">
    <w:altName w:val="細明體"/>
    <w:charset w:val="88"/>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453123pt;margin-top:816.757751pt;width:251.45pt;height:10.95pt;mso-position-horizontal-relative:page;mso-position-vertical-relative:page;z-index:-15925760" type="#_x0000_t202" id="docshape3" filled="false" stroked="false">
          <v:textbox inset="0,0,0,0">
            <w:txbxContent>
              <w:p>
                <w:pPr>
                  <w:spacing w:before="14"/>
                  <w:ind w:left="20" w:right="0" w:firstLine="0"/>
                  <w:jc w:val="left"/>
                  <w:rPr>
                    <w:rFonts w:ascii="Arial"/>
                    <w:sz w:val="16"/>
                  </w:rPr>
                </w:pPr>
                <w:r>
                  <w:rPr>
                    <w:rFonts w:ascii="Arial"/>
                    <w:spacing w:val="-7"/>
                    <w:sz w:val="16"/>
                  </w:rPr>
                  <w:t>https://law.moj.gov.tw/LawClass/LawAll.aspx?media=print&amp;pcode=I0050022</w:t>
                </w:r>
              </w:p>
            </w:txbxContent>
          </v:textbox>
          <w10:wrap type="none"/>
        </v:shape>
      </w:pict>
    </w:r>
    <w:r>
      <w:rPr/>
      <w:pict>
        <v:shape style="position:absolute;margin-left:555.546814pt;margin-top:816.757751pt;width:14.45pt;height:10.95pt;mso-position-horizontal-relative:page;mso-position-vertical-relative:page;z-index:-15925248" type="#_x0000_t202" id="docshape4" filled="false" stroked="false">
          <v:textbox inset="0,0,0,0">
            <w:txbxContent>
              <w:p>
                <w:pPr>
                  <w:spacing w:before="14"/>
                  <w:ind w:left="60" w:right="0" w:firstLine="0"/>
                  <w:jc w:val="left"/>
                  <w:rPr>
                    <w:rFonts w:ascii="Arial"/>
                    <w:sz w:val="16"/>
                  </w:rPr>
                </w:pPr>
                <w:r>
                  <w:rPr>
                    <w:rFonts w:ascii="Arial"/>
                    <w:spacing w:val="-5"/>
                    <w:sz w:val="16"/>
                  </w:rPr>
                  <w:fldChar w:fldCharType="begin"/>
                </w:r>
                <w:r>
                  <w:rPr>
                    <w:rFonts w:ascii="Arial"/>
                    <w:spacing w:val="-5"/>
                    <w:sz w:val="16"/>
                  </w:rPr>
                  <w:instrText> PAGE </w:instrText>
                </w:r>
                <w:r>
                  <w:rPr>
                    <w:rFonts w:ascii="Arial"/>
                    <w:spacing w:val="-5"/>
                    <w:sz w:val="16"/>
                  </w:rPr>
                  <w:fldChar w:fldCharType="separate"/>
                </w:r>
                <w:r>
                  <w:rPr>
                    <w:rFonts w:ascii="Arial"/>
                    <w:spacing w:val="-5"/>
                    <w:sz w:val="16"/>
                  </w:rPr>
                  <w:t>1</w:t>
                </w:r>
                <w:r>
                  <w:rPr>
                    <w:rFonts w:ascii="Arial"/>
                    <w:spacing w:val="-5"/>
                    <w:sz w:val="16"/>
                  </w:rPr>
                  <w:fldChar w:fldCharType="end"/>
                </w:r>
                <w:r>
                  <w:rPr>
                    <w:rFonts w:ascii="Arial"/>
                    <w:spacing w:val="-5"/>
                    <w:sz w:val="16"/>
                  </w:rPr>
                  <w:t>/</w:t>
                </w:r>
                <w:r>
                  <w:rPr>
                    <w:rFonts w:ascii="Arial"/>
                    <w:spacing w:val="-5"/>
                    <w:sz w:val="16"/>
                  </w:rPr>
                  <w:fldChar w:fldCharType="begin"/>
                </w:r>
                <w:r>
                  <w:rPr>
                    <w:rFonts w:ascii="Arial"/>
                    <w:spacing w:val="-5"/>
                    <w:sz w:val="16"/>
                  </w:rPr>
                  <w:instrText> NUMPAGES </w:instrText>
                </w:r>
                <w:r>
                  <w:rPr>
                    <w:rFonts w:ascii="Arial"/>
                    <w:spacing w:val="-5"/>
                    <w:sz w:val="16"/>
                  </w:rPr>
                  <w:fldChar w:fldCharType="separate"/>
                </w:r>
                <w:r>
                  <w:rPr>
                    <w:rFonts w:ascii="Arial"/>
                    <w:spacing w:val="-5"/>
                    <w:sz w:val="16"/>
                  </w:rPr>
                  <w:t>5</w:t>
                </w:r>
                <w:r>
                  <w:rPr>
                    <w:rFonts w:ascii="Arial"/>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10936pt;margin-top:13.875002pt;width:149pt;height:12.2pt;mso-position-horizontal-relative:page;mso-position-vertical-relative:page;z-index:-15926784" type="#_x0000_t202" id="docshape1" filled="false" stroked="false">
          <v:textbox inset="0,0,0,0">
            <w:txbxContent>
              <w:p>
                <w:pPr>
                  <w:spacing w:line="243" w:lineRule="exact" w:before="0"/>
                  <w:ind w:left="20" w:right="0" w:firstLine="0"/>
                  <w:jc w:val="left"/>
                  <w:rPr>
                    <w:rFonts w:ascii="Microsoft JhengHei UI" w:eastAsia="Microsoft JhengHei UI" w:hint="eastAsia"/>
                    <w:sz w:val="16"/>
                  </w:rPr>
                </w:pPr>
                <w:r>
                  <w:rPr>
                    <w:rFonts w:ascii="Microsoft JhengHei UI" w:eastAsia="Microsoft JhengHei UI" w:hint="eastAsia"/>
                    <w:sz w:val="16"/>
                  </w:rPr>
                  <w:t>個人資料保護法施行細則</w:t>
                </w:r>
                <w:r>
                  <w:rPr>
                    <w:rFonts w:ascii="Arial" w:eastAsia="Arial"/>
                    <w:sz w:val="16"/>
                  </w:rPr>
                  <w:t>-</w:t>
                </w:r>
                <w:r>
                  <w:rPr>
                    <w:rFonts w:ascii="Microsoft JhengHei UI" w:eastAsia="Microsoft JhengHei UI" w:hint="eastAsia"/>
                    <w:spacing w:val="-2"/>
                    <w:sz w:val="16"/>
                  </w:rPr>
                  <w:t>全國法規資料庫</w:t>
                </w:r>
              </w:p>
            </w:txbxContent>
          </v:textbox>
          <w10:wrap type="none"/>
        </v:shape>
      </w:pict>
    </w:r>
    <w:r>
      <w:rPr/>
      <w:pict>
        <v:shape style="position:absolute;margin-left:25.453123pt;margin-top:14.757814pt;width:34.450pt;height:10.95pt;mso-position-horizontal-relative:page;mso-position-vertical-relative:page;z-index:-15926272" type="#_x0000_t202" id="docshape2" filled="false" stroked="false">
          <v:textbox inset="0,0,0,0">
            <w:txbxContent>
              <w:p>
                <w:pPr>
                  <w:spacing w:before="14"/>
                  <w:ind w:left="20" w:right="0" w:firstLine="0"/>
                  <w:jc w:val="left"/>
                  <w:rPr>
                    <w:rFonts w:ascii="Arial"/>
                    <w:sz w:val="16"/>
                  </w:rPr>
                </w:pPr>
                <w:r>
                  <w:rPr>
                    <w:rFonts w:ascii="Arial"/>
                    <w:spacing w:val="-7"/>
                    <w:sz w:val="16"/>
                  </w:rPr>
                  <w:t>2020/5/26</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rPr>
      <w:rFonts w:ascii="細明體" w:hAnsi="細明體" w:eastAsia="細明體" w:cs="細明體"/>
      <w:sz w:val="22"/>
      <w:szCs w:val="22"/>
      <w:lang w:val="en-US" w:eastAsia="zh-TW" w:bidi="ar-SA"/>
    </w:rPr>
  </w:style>
  <w:style w:styleId="Title" w:type="paragraph">
    <w:name w:val="Title"/>
    <w:basedOn w:val="Normal"/>
    <w:uiPriority w:val="1"/>
    <w:qFormat/>
    <w:pPr>
      <w:spacing w:before="48"/>
      <w:ind w:left="335"/>
    </w:pPr>
    <w:rPr>
      <w:rFonts w:ascii="新細明體" w:hAnsi="新細明體" w:eastAsia="新細明體" w:cs="新細明體"/>
      <w:sz w:val="23"/>
      <w:szCs w:val="23"/>
      <w:lang w:val="en-US" w:eastAsia="zh-TW" w:bidi="ar-SA"/>
    </w:rPr>
  </w:style>
  <w:style w:styleId="ListParagraph" w:type="paragraph">
    <w:name w:val="List Paragraph"/>
    <w:basedOn w:val="Normal"/>
    <w:uiPriority w:val="1"/>
    <w:qFormat/>
    <w:pPr/>
    <w:rPr>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2024-01-17T00:31:09Z</dcterms:created>
  <dcterms:modified xsi:type="dcterms:W3CDTF">2024-01-17T00:31:09Z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Mozilla/5.0 (Windows NT 6.1; Win64; x64) AppleWebKit/537.36 (KHTML, like Gecko) Chrome/81.0.4044.138 Safari/537.36</vt:lpwstr>
  </property>
  <property fmtid="{D5CDD505-2E9C-101B-9397-08002B2CF9AE}" pid="4" name="LastSaved">
    <vt:filetime>2024-01-17T00:00:00Z</vt:filetime>
  </property>
  <property fmtid="{D5CDD505-2E9C-101B-9397-08002B2CF9AE}" pid="5" name="Producer">
    <vt:lpwstr>Skia/PDF m81</vt:lpwstr>
  </property>
</Properties>
</file>