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pStyle w:val="Title"/>
      </w:pPr>
      <w:r>
        <w:rPr>
          <w:spacing w:val="13"/>
        </w:rPr>
        <w:t>所有條文</w:t>
      </w:r>
    </w:p>
    <w:p>
      <w:pPr>
        <w:pStyle w:val="BodyText"/>
        <w:spacing w:before="3"/>
        <w:rPr>
          <w:rFonts w:ascii="新細明體"/>
          <w:sz w:val="24"/>
        </w:rPr>
      </w:pPr>
    </w:p>
    <w:p>
      <w:pPr>
        <w:pStyle w:val="BodyText"/>
        <w:spacing w:before="1"/>
        <w:ind w:left="402"/>
      </w:pPr>
      <w:r>
        <w:rPr>
          <w:rFonts w:ascii="新細明體" w:eastAsia="新細明體" w:hint="eastAsia"/>
          <w:spacing w:val="29"/>
          <w:sz w:val="23"/>
        </w:rPr>
        <w:t>法規名稱</w:t>
      </w:r>
      <w:r>
        <w:rPr>
          <w:rFonts w:ascii="新細明體" w:eastAsia="新細明體" w:hint="eastAsia"/>
          <w:spacing w:val="29"/>
        </w:rPr>
        <w:t>：  </w:t>
      </w:r>
      <w:r>
        <w:rPr>
          <w:spacing w:val="13"/>
        </w:rPr>
        <w:t>身心障礙及資賦優異學生鑑定辦法</w:t>
      </w:r>
    </w:p>
    <w:p>
      <w:pPr>
        <w:pStyle w:val="BodyText"/>
        <w:spacing w:before="83"/>
        <w:ind w:left="402"/>
      </w:pPr>
      <w:r>
        <w:rPr>
          <w:rFonts w:ascii="新細明體" w:eastAsia="新細明體" w:hint="eastAsia"/>
          <w:spacing w:val="29"/>
          <w:sz w:val="23"/>
        </w:rPr>
        <w:t>修</w:t>
      </w:r>
      <w:r>
        <w:rPr>
          <w:rFonts w:ascii="新細明體" w:eastAsia="新細明體" w:hint="eastAsia"/>
          <w:spacing w:val="29"/>
        </w:rPr>
        <w:t>正</w:t>
      </w:r>
      <w:r>
        <w:rPr>
          <w:rFonts w:ascii="新細明體" w:eastAsia="新細明體" w:hint="eastAsia"/>
          <w:spacing w:val="29"/>
          <w:sz w:val="23"/>
        </w:rPr>
        <w:t>日期</w:t>
      </w:r>
      <w:r>
        <w:rPr>
          <w:rFonts w:ascii="新細明體" w:eastAsia="新細明體" w:hint="eastAsia"/>
          <w:spacing w:val="19"/>
        </w:rPr>
        <w:t>：  </w:t>
      </w:r>
      <w:r>
        <w:rPr>
          <w:spacing w:val="15"/>
        </w:rPr>
        <w:t>民國 </w:t>
      </w:r>
      <w:r>
        <w:rPr/>
        <w:t>102</w:t>
      </w:r>
      <w:r>
        <w:rPr>
          <w:spacing w:val="18"/>
        </w:rPr>
        <w:t> 年 </w:t>
      </w:r>
      <w:r>
        <w:rPr/>
        <w:t>09</w:t>
      </w:r>
      <w:r>
        <w:rPr>
          <w:spacing w:val="18"/>
        </w:rPr>
        <w:t> 月 </w:t>
      </w:r>
      <w:r>
        <w:rPr/>
        <w:t>02</w:t>
      </w:r>
      <w:r>
        <w:rPr>
          <w:spacing w:val="6"/>
        </w:rPr>
        <w:t> 日</w:t>
      </w:r>
    </w:p>
    <w:p>
      <w:pPr>
        <w:pStyle w:val="BodyText"/>
        <w:spacing w:before="84"/>
        <w:ind w:left="402"/>
      </w:pPr>
      <w:r>
        <w:rPr>
          <w:rFonts w:ascii="新細明體" w:eastAsia="新細明體" w:hint="eastAsia"/>
          <w:spacing w:val="29"/>
          <w:sz w:val="23"/>
        </w:rPr>
        <w:t>法規類別</w:t>
      </w:r>
      <w:r>
        <w:rPr>
          <w:rFonts w:ascii="新細明體" w:eastAsia="新細明體" w:hint="eastAsia"/>
          <w:spacing w:val="20"/>
        </w:rPr>
        <w:t>：  </w:t>
      </w:r>
      <w:r>
        <w:rPr>
          <w:spacing w:val="12"/>
        </w:rPr>
        <w:t>行政 ＞ 教育部 ＞ 學生事務及特殊教育目</w:t>
      </w:r>
    </w:p>
    <w:p>
      <w:pPr>
        <w:pStyle w:val="BodyText"/>
        <w:rPr>
          <w:sz w:val="20"/>
        </w:rPr>
      </w:pPr>
    </w:p>
    <w:p>
      <w:pPr>
        <w:pStyle w:val="BodyText"/>
        <w:spacing w:before="7"/>
        <w:rPr>
          <w:sz w:val="14"/>
        </w:rPr>
      </w:pPr>
    </w:p>
    <w:p>
      <w:pPr>
        <w:spacing w:after="0"/>
        <w:rPr>
          <w:sz w:val="14"/>
        </w:rPr>
        <w:sectPr>
          <w:headerReference w:type="default" r:id="rId5"/>
          <w:footerReference w:type="default" r:id="rId6"/>
          <w:type w:val="continuous"/>
          <w:pgSz w:w="11900" w:h="16840"/>
          <w:pgMar w:header="298" w:footer="283" w:top="760" w:bottom="480" w:left="820" w:right="1140"/>
          <w:pgNumType w:start="1"/>
        </w:sectPr>
      </w:pPr>
    </w:p>
    <w:p>
      <w:pPr>
        <w:pStyle w:val="BodyText"/>
        <w:spacing w:before="61"/>
        <w:ind w:left="951"/>
      </w:pPr>
      <w:r>
        <w:rPr/>
        <w:pict>
          <v:group style="position:absolute;margin-left:46.503628pt;margin-top:39.000004pt;width:502.75pt;height:45.05pt;mso-position-horizontal-relative:page;mso-position-vertical-relative:page;z-index:15728640" id="docshapegroup5" coordorigin="930,780" coordsize="10055,901">
            <v:rect style="position:absolute;left:930;top:1590;width:10055;height:15" id="docshape6" filled="true" fillcolor="#bfbfbf" stroked="false">
              <v:fill type="solid"/>
            </v:rect>
            <v:shape style="position:absolute;left:930;top:780;width:3602;height:901" type="#_x0000_t75" id="docshape7" stroked="false">
              <v:imagedata r:id="rId7" o:title=""/>
            </v:shape>
            <v:shape style="position:absolute;left:930;top:780;width:10055;height:901" type="#_x0000_t202" id="docshape8" filled="false" stroked="false">
              <v:textbox inset="0,0,0,0">
                <w:txbxContent>
                  <w:p>
                    <w:pPr>
                      <w:spacing w:line="240" w:lineRule="auto" w:before="0"/>
                      <w:rPr>
                        <w:sz w:val="18"/>
                      </w:rPr>
                    </w:pPr>
                  </w:p>
                  <w:p>
                    <w:pPr>
                      <w:spacing w:line="240" w:lineRule="auto" w:before="13"/>
                      <w:rPr>
                        <w:sz w:val="24"/>
                      </w:rPr>
                    </w:pPr>
                  </w:p>
                  <w:p>
                    <w:pPr>
                      <w:spacing w:before="0"/>
                      <w:ind w:left="0" w:right="0" w:firstLine="0"/>
                      <w:jc w:val="right"/>
                      <w:rPr>
                        <w:sz w:val="18"/>
                      </w:rPr>
                    </w:pPr>
                    <w:r>
                      <w:rPr>
                        <w:sz w:val="18"/>
                      </w:rPr>
                      <w:t>列印時間：109/05/26 </w:t>
                    </w:r>
                    <w:r>
                      <w:rPr>
                        <w:spacing w:val="-2"/>
                        <w:sz w:val="18"/>
                      </w:rPr>
                      <w:t>10:37</w:t>
                    </w:r>
                  </w:p>
                </w:txbxContent>
              </v:textbox>
              <w10:wrap type="none"/>
            </v:shape>
            <w10:wrap type="none"/>
          </v:group>
        </w:pict>
      </w:r>
      <w:r>
        <w:rPr>
          <w:spacing w:val="14"/>
        </w:rPr>
        <w:t>第 </w:t>
      </w:r>
      <w:r>
        <w:rPr/>
        <w:t>1</w:t>
      </w:r>
      <w:r>
        <w:rPr>
          <w:spacing w:val="5"/>
        </w:rPr>
        <w:t> 條</w:t>
      </w:r>
    </w:p>
    <w:p>
      <w:pPr>
        <w:pStyle w:val="BodyText"/>
        <w:spacing w:before="2"/>
        <w:rPr>
          <w:sz w:val="24"/>
        </w:rPr>
      </w:pPr>
    </w:p>
    <w:p>
      <w:pPr>
        <w:pStyle w:val="BodyText"/>
        <w:ind w:left="951"/>
      </w:pPr>
      <w:r>
        <w:rPr>
          <w:spacing w:val="14"/>
        </w:rPr>
        <w:t>第 </w:t>
      </w:r>
      <w:r>
        <w:rPr/>
        <w:t>2</w:t>
      </w:r>
      <w:r>
        <w:rPr>
          <w:spacing w:val="5"/>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5"/>
        </w:rPr>
      </w:pPr>
    </w:p>
    <w:p>
      <w:pPr>
        <w:pStyle w:val="BodyText"/>
        <w:ind w:left="951"/>
      </w:pPr>
      <w:r>
        <w:rPr>
          <w:spacing w:val="14"/>
        </w:rPr>
        <w:t>第 </w:t>
      </w:r>
      <w:r>
        <w:rPr/>
        <w:t>3</w:t>
      </w:r>
      <w:r>
        <w:rPr>
          <w:spacing w:val="5"/>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951"/>
      </w:pPr>
      <w:r>
        <w:rPr>
          <w:spacing w:val="14"/>
        </w:rPr>
        <w:t>第 </w:t>
      </w:r>
      <w:r>
        <w:rPr/>
        <w:t>4</w:t>
      </w:r>
      <w:r>
        <w:rPr>
          <w:spacing w:val="5"/>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9"/>
        </w:rPr>
      </w:pPr>
    </w:p>
    <w:p>
      <w:pPr>
        <w:pStyle w:val="BodyText"/>
        <w:ind w:left="951"/>
      </w:pPr>
      <w:r>
        <w:rPr>
          <w:spacing w:val="14"/>
        </w:rPr>
        <w:t>第 </w:t>
      </w:r>
      <w:r>
        <w:rPr/>
        <w:t>5</w:t>
      </w:r>
      <w:r>
        <w:rPr>
          <w:spacing w:val="5"/>
        </w:rPr>
        <w:t> 條</w:t>
      </w:r>
    </w:p>
    <w:p>
      <w:pPr>
        <w:pStyle w:val="BodyText"/>
        <w:spacing w:before="76"/>
        <w:ind w:left="334"/>
      </w:pPr>
      <w:r>
        <w:rPr/>
        <w:br w:type="column"/>
      </w:r>
      <w:r>
        <w:rPr>
          <w:spacing w:val="15"/>
        </w:rPr>
        <w:t>本辦法依特殊教育法（以下簡稱本法）</w:t>
      </w:r>
      <w:r>
        <w:rPr>
          <w:spacing w:val="13"/>
        </w:rPr>
        <w:t>第十六條第二項規定訂定之。</w:t>
      </w:r>
    </w:p>
    <w:p>
      <w:pPr>
        <w:pStyle w:val="BodyText"/>
        <w:spacing w:before="2"/>
        <w:rPr>
          <w:sz w:val="24"/>
        </w:rPr>
      </w:pPr>
    </w:p>
    <w:p>
      <w:pPr>
        <w:pStyle w:val="BodyText"/>
        <w:spacing w:line="316" w:lineRule="auto"/>
        <w:ind w:left="334" w:right="117"/>
        <w:jc w:val="both"/>
      </w:pPr>
      <w:r>
        <w:rPr>
          <w:spacing w:val="12"/>
        </w:rPr>
        <w:t>身心障礙學生之鑑定，應採多元評量，依學生個別狀況採取標準化評量、</w:t>
      </w:r>
      <w:r>
        <w:rPr>
          <w:spacing w:val="13"/>
        </w:rPr>
        <w:t>直接觀察、晤談、醫學檢查等方式，或參考身心障礙手冊（證明）</w:t>
      </w:r>
      <w:r>
        <w:rPr>
          <w:spacing w:val="8"/>
        </w:rPr>
        <w:t>記載蒐</w:t>
      </w:r>
      <w:r>
        <w:rPr>
          <w:spacing w:val="11"/>
        </w:rPr>
        <w:t>集個案資料，綜合研判之。</w:t>
      </w:r>
    </w:p>
    <w:p>
      <w:pPr>
        <w:pStyle w:val="BodyText"/>
        <w:spacing w:line="316" w:lineRule="auto"/>
        <w:ind w:left="334" w:right="117"/>
        <w:jc w:val="both"/>
      </w:pPr>
      <w:r>
        <w:rPr>
          <w:spacing w:val="12"/>
        </w:rPr>
        <w:t>資賦優異學生之鑑定，應以標準化評量工具，採多元及多階段評量，除一</w:t>
      </w:r>
      <w:r>
        <w:rPr>
          <w:spacing w:val="14"/>
        </w:rPr>
        <w:t>般智能及學術性向資賦優異學生之鑑定外，其他各類資賦優異學生之鑑定</w:t>
      </w:r>
    </w:p>
    <w:p>
      <w:pPr>
        <w:pStyle w:val="BodyText"/>
        <w:spacing w:line="306" w:lineRule="exact"/>
        <w:ind w:left="334"/>
        <w:jc w:val="both"/>
      </w:pPr>
      <w:r>
        <w:rPr>
          <w:spacing w:val="15"/>
        </w:rPr>
        <w:t>，均不得施以學科（領域）</w:t>
      </w:r>
      <w:r>
        <w:rPr>
          <w:spacing w:val="10"/>
        </w:rPr>
        <w:t>成就測驗。</w:t>
      </w:r>
    </w:p>
    <w:p>
      <w:pPr>
        <w:pStyle w:val="BodyText"/>
        <w:spacing w:before="13"/>
        <w:rPr>
          <w:sz w:val="23"/>
        </w:rPr>
      </w:pPr>
    </w:p>
    <w:p>
      <w:pPr>
        <w:pStyle w:val="BodyText"/>
        <w:ind w:left="334"/>
      </w:pPr>
      <w:r>
        <w:rPr>
          <w:spacing w:val="14"/>
        </w:rPr>
        <w:t>本法第三條第一款所稱智能障礙，指個人之智能發展較同年齡者明顯遲緩</w:t>
      </w:r>
    </w:p>
    <w:p>
      <w:pPr>
        <w:pStyle w:val="BodyText"/>
        <w:spacing w:line="316" w:lineRule="auto" w:before="98"/>
        <w:ind w:left="334" w:right="2518"/>
      </w:pPr>
      <w:r>
        <w:rPr>
          <w:spacing w:val="12"/>
        </w:rPr>
        <w:t>，且在學習及生活適應能力表現上有顯著困難者。</w:t>
      </w:r>
      <w:r>
        <w:rPr>
          <w:spacing w:val="13"/>
        </w:rPr>
        <w:t>前項所定智能障礙，其鑑定基準依下列各款規定：</w:t>
      </w:r>
    </w:p>
    <w:p>
      <w:pPr>
        <w:pStyle w:val="BodyText"/>
        <w:spacing w:line="316" w:lineRule="auto"/>
        <w:ind w:left="334" w:right="117"/>
      </w:pPr>
      <w:r>
        <w:rPr>
          <w:spacing w:val="12"/>
        </w:rPr>
        <w:t>一、心智功能明顯低下或個別智力測驗結果未達平均數負二個標準差。</w:t>
      </w:r>
      <w:r>
        <w:rPr>
          <w:spacing w:val="40"/>
        </w:rPr>
        <w:t>  </w:t>
      </w:r>
      <w:r>
        <w:rPr>
          <w:spacing w:val="14"/>
        </w:rPr>
        <w:t>二、學生在生活自理、動作與行動能力、語言與溝通、社會人際與情緒行</w:t>
      </w:r>
    </w:p>
    <w:p>
      <w:pPr>
        <w:pStyle w:val="BodyText"/>
        <w:spacing w:line="306" w:lineRule="exact"/>
        <w:ind w:left="814"/>
      </w:pPr>
      <w:r>
        <w:rPr>
          <w:spacing w:val="15"/>
        </w:rPr>
        <w:t>為等任一向度及學科（領域）</w:t>
      </w:r>
      <w:r>
        <w:rPr>
          <w:spacing w:val="13"/>
        </w:rPr>
        <w:t>學習之表現較同年齡者有顯著困難情形</w:t>
      </w:r>
    </w:p>
    <w:p>
      <w:pPr>
        <w:spacing w:before="96"/>
        <w:ind w:left="814" w:right="0" w:firstLine="0"/>
        <w:jc w:val="left"/>
        <w:rPr>
          <w:sz w:val="22"/>
        </w:rPr>
      </w:pPr>
      <w:r>
        <w:rPr>
          <w:w w:val="102"/>
          <w:sz w:val="22"/>
        </w:rPr>
        <w:t>。</w:t>
      </w:r>
    </w:p>
    <w:p>
      <w:pPr>
        <w:pStyle w:val="BodyText"/>
        <w:spacing w:before="1"/>
        <w:rPr>
          <w:sz w:val="24"/>
        </w:rPr>
      </w:pPr>
    </w:p>
    <w:p>
      <w:pPr>
        <w:pStyle w:val="BodyText"/>
        <w:spacing w:line="316" w:lineRule="auto" w:before="1"/>
        <w:ind w:left="334" w:right="117"/>
        <w:jc w:val="both"/>
      </w:pPr>
      <w:r>
        <w:rPr>
          <w:spacing w:val="13"/>
          <w:w w:val="102"/>
        </w:rPr>
        <w:t>本法第三條第二款所稱視覺障礙，指由於先天或後天原因，導致視覺器官</w:t>
      </w:r>
      <w:r>
        <w:rPr>
          <w:spacing w:val="13"/>
          <w:w w:val="102"/>
        </w:rPr>
        <w:t>之構造缺損，或機能發生部分或全部之障礙，經矯正後其視覺辨認仍有困</w:t>
      </w:r>
      <w:r>
        <w:rPr>
          <w:spacing w:val="10"/>
          <w:w w:val="102"/>
        </w:rPr>
        <w:t>難者。</w:t>
      </w:r>
    </w:p>
    <w:p>
      <w:pPr>
        <w:pStyle w:val="BodyText"/>
        <w:spacing w:line="305" w:lineRule="exact"/>
        <w:ind w:left="334"/>
        <w:jc w:val="both"/>
      </w:pPr>
      <w:r>
        <w:rPr>
          <w:spacing w:val="13"/>
        </w:rPr>
        <w:t>前項所定視覺障礙，其鑑定基準依下列各款規定之一：</w:t>
      </w:r>
    </w:p>
    <w:p>
      <w:pPr>
        <w:pStyle w:val="BodyText"/>
        <w:spacing w:line="316" w:lineRule="auto" w:before="97"/>
        <w:ind w:left="814" w:right="117" w:hanging="481"/>
        <w:jc w:val="both"/>
      </w:pPr>
      <w:r>
        <w:rPr>
          <w:spacing w:val="12"/>
        </w:rPr>
        <w:t>一、視力經最佳矯正後，依萬國式視力表所測定優眼視力未達○．三或視</w:t>
      </w:r>
      <w:r>
        <w:rPr>
          <w:spacing w:val="11"/>
        </w:rPr>
        <w:t>野在二十度以內。</w:t>
      </w:r>
    </w:p>
    <w:p>
      <w:pPr>
        <w:pStyle w:val="BodyText"/>
        <w:spacing w:line="316" w:lineRule="auto"/>
        <w:ind w:left="814" w:right="117" w:hanging="481"/>
        <w:jc w:val="both"/>
      </w:pPr>
      <w:r>
        <w:rPr>
          <w:spacing w:val="12"/>
        </w:rPr>
        <w:t>二、視力無法以前款視力表測定時，以其他經醫學專業採認之檢查方式測</w:t>
      </w:r>
      <w:r>
        <w:rPr>
          <w:spacing w:val="8"/>
        </w:rPr>
        <w:t>定後認定。</w:t>
      </w:r>
    </w:p>
    <w:p>
      <w:pPr>
        <w:pStyle w:val="BodyText"/>
        <w:spacing w:before="13"/>
        <w:rPr>
          <w:sz w:val="16"/>
        </w:rPr>
      </w:pPr>
    </w:p>
    <w:p>
      <w:pPr>
        <w:pStyle w:val="BodyText"/>
        <w:ind w:left="334"/>
      </w:pPr>
      <w:r>
        <w:rPr>
          <w:spacing w:val="14"/>
        </w:rPr>
        <w:t>本法第三條第三款所稱聽覺障礙，指由於聽覺器官之構造缺損或功能異常</w:t>
      </w:r>
    </w:p>
    <w:p>
      <w:pPr>
        <w:pStyle w:val="BodyText"/>
        <w:spacing w:before="97"/>
        <w:ind w:left="334"/>
      </w:pPr>
      <w:r>
        <w:rPr>
          <w:spacing w:val="13"/>
        </w:rPr>
        <w:t>，致以聽覺參與活動之能力受到限制者。</w:t>
      </w:r>
    </w:p>
    <w:p>
      <w:pPr>
        <w:pStyle w:val="BodyText"/>
        <w:spacing w:before="98"/>
        <w:ind w:left="334"/>
      </w:pPr>
      <w:r>
        <w:rPr>
          <w:spacing w:val="13"/>
        </w:rPr>
        <w:t>前項所定聽覺障礙，其鑑定基準依下列各款規定之一：</w:t>
      </w:r>
    </w:p>
    <w:p>
      <w:pPr>
        <w:pStyle w:val="BodyText"/>
        <w:spacing w:before="97"/>
        <w:ind w:left="334"/>
      </w:pPr>
      <w:r>
        <w:rPr>
          <w:spacing w:val="14"/>
        </w:rPr>
        <w:t>一、接受行為式純音聽力檢查後，其優耳之五百赫、一千赫、二千赫聽閾</w:t>
      </w:r>
    </w:p>
    <w:p>
      <w:pPr>
        <w:spacing w:after="0"/>
        <w:sectPr>
          <w:type w:val="continuous"/>
          <w:pgSz w:w="11900" w:h="16840"/>
          <w:pgMar w:header="298" w:footer="283" w:top="760" w:bottom="480" w:left="820" w:right="1140"/>
          <w:cols w:num="2" w:equalWidth="0">
            <w:col w:w="1777" w:space="40"/>
            <w:col w:w="8123"/>
          </w:cols>
        </w:sectPr>
      </w:pPr>
    </w:p>
    <w:p>
      <w:pPr>
        <w:pStyle w:val="BodyText"/>
        <w:spacing w:before="60"/>
        <w:ind w:left="2631"/>
      </w:pPr>
      <w:r>
        <w:rPr>
          <w:spacing w:val="14"/>
        </w:rPr>
        <w:t>平均值，六歲以下達二十一分貝以上者；七歲以上達二十五分貝以上</w:t>
      </w:r>
    </w:p>
    <w:p>
      <w:pPr>
        <w:spacing w:before="97"/>
        <w:ind w:left="2631" w:right="0" w:firstLine="0"/>
        <w:jc w:val="left"/>
        <w:rPr>
          <w:sz w:val="22"/>
        </w:rPr>
      </w:pPr>
      <w:r>
        <w:rPr>
          <w:w w:val="102"/>
          <w:sz w:val="22"/>
        </w:rPr>
        <w:t>。</w:t>
      </w:r>
    </w:p>
    <w:p>
      <w:pPr>
        <w:pStyle w:val="BodyText"/>
        <w:spacing w:line="316" w:lineRule="auto" w:before="98"/>
        <w:ind w:left="2631" w:right="117" w:hanging="481"/>
      </w:pPr>
      <w:r>
        <w:rPr>
          <w:spacing w:val="12"/>
        </w:rPr>
        <w:t>二、聽力無法以前款行為式純音聽力測定時，以聽覺電生理檢查方式測定</w:t>
      </w:r>
      <w:r>
        <w:rPr>
          <w:spacing w:val="8"/>
        </w:rPr>
        <w:t>後認定。</w:t>
      </w:r>
    </w:p>
    <w:p>
      <w:pPr>
        <w:pStyle w:val="BodyText"/>
        <w:spacing w:before="10"/>
        <w:rPr>
          <w:sz w:val="12"/>
        </w:rPr>
      </w:pPr>
    </w:p>
    <w:p>
      <w:pPr>
        <w:spacing w:after="0"/>
        <w:rPr>
          <w:sz w:val="12"/>
        </w:rPr>
        <w:sectPr>
          <w:pgSz w:w="11900" w:h="16840"/>
          <w:pgMar w:header="298" w:footer="283" w:top="760" w:bottom="480" w:left="820" w:right="1140"/>
        </w:sectPr>
      </w:pPr>
    </w:p>
    <w:p>
      <w:pPr>
        <w:pStyle w:val="BodyText"/>
        <w:spacing w:before="60"/>
        <w:jc w:val="right"/>
      </w:pPr>
      <w:r>
        <w:rPr>
          <w:spacing w:val="14"/>
        </w:rPr>
        <w:t>第 </w:t>
      </w:r>
      <w:r>
        <w:rPr/>
        <w:t>6</w:t>
      </w:r>
      <w:r>
        <w:rPr>
          <w:spacing w:val="5"/>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27"/>
        </w:rPr>
      </w:pPr>
    </w:p>
    <w:p>
      <w:pPr>
        <w:pStyle w:val="BodyText"/>
        <w:jc w:val="right"/>
      </w:pPr>
      <w:r>
        <w:rPr>
          <w:spacing w:val="14"/>
        </w:rPr>
        <w:t>第 </w:t>
      </w:r>
      <w:r>
        <w:rPr/>
        <w:t>7</w:t>
      </w:r>
      <w:r>
        <w:rPr>
          <w:spacing w:val="5"/>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5"/>
        </w:rPr>
      </w:pPr>
    </w:p>
    <w:p>
      <w:pPr>
        <w:pStyle w:val="BodyText"/>
        <w:jc w:val="right"/>
      </w:pPr>
      <w:r>
        <w:rPr>
          <w:spacing w:val="18"/>
        </w:rPr>
        <w:t>第 </w:t>
      </w:r>
      <w:r>
        <w:rPr/>
        <w:t>7-1</w:t>
      </w:r>
      <w:r>
        <w:rPr>
          <w:spacing w:val="10"/>
        </w:rPr>
        <w:t> 條</w:t>
      </w:r>
    </w:p>
    <w:p>
      <w:pPr>
        <w:pStyle w:val="BodyText"/>
      </w:pPr>
    </w:p>
    <w:p>
      <w:pPr>
        <w:pStyle w:val="BodyText"/>
      </w:pPr>
    </w:p>
    <w:p>
      <w:pPr>
        <w:pStyle w:val="BodyText"/>
      </w:pPr>
    </w:p>
    <w:p>
      <w:pPr>
        <w:pStyle w:val="BodyText"/>
      </w:pPr>
    </w:p>
    <w:p>
      <w:pPr>
        <w:pStyle w:val="BodyText"/>
      </w:pPr>
    </w:p>
    <w:p>
      <w:pPr>
        <w:pStyle w:val="BodyText"/>
        <w:spacing w:before="1"/>
        <w:rPr>
          <w:sz w:val="30"/>
        </w:rPr>
      </w:pPr>
    </w:p>
    <w:p>
      <w:pPr>
        <w:pStyle w:val="BodyText"/>
        <w:jc w:val="right"/>
      </w:pPr>
      <w:r>
        <w:rPr>
          <w:spacing w:val="14"/>
        </w:rPr>
        <w:t>第 </w:t>
      </w:r>
      <w:r>
        <w:rPr/>
        <w:t>8</w:t>
      </w:r>
      <w:r>
        <w:rPr>
          <w:spacing w:val="5"/>
        </w:rPr>
        <w:t> 條</w:t>
      </w:r>
    </w:p>
    <w:p>
      <w:pPr>
        <w:pStyle w:val="BodyText"/>
      </w:pPr>
    </w:p>
    <w:p>
      <w:pPr>
        <w:pStyle w:val="BodyText"/>
      </w:pPr>
    </w:p>
    <w:p>
      <w:pPr>
        <w:pStyle w:val="BodyText"/>
      </w:pPr>
    </w:p>
    <w:p>
      <w:pPr>
        <w:pStyle w:val="BodyText"/>
        <w:spacing w:before="1"/>
        <w:rPr>
          <w:sz w:val="16"/>
        </w:rPr>
      </w:pPr>
    </w:p>
    <w:p>
      <w:pPr>
        <w:pStyle w:val="BodyText"/>
        <w:jc w:val="right"/>
      </w:pPr>
      <w:r>
        <w:rPr>
          <w:spacing w:val="14"/>
        </w:rPr>
        <w:t>第 </w:t>
      </w:r>
      <w:r>
        <w:rPr/>
        <w:t>9</w:t>
      </w:r>
      <w:r>
        <w:rPr>
          <w:spacing w:val="5"/>
        </w:rPr>
        <w:t> 條</w:t>
      </w:r>
    </w:p>
    <w:p>
      <w:pPr>
        <w:pStyle w:val="BodyText"/>
        <w:spacing w:line="316" w:lineRule="auto" w:before="75"/>
        <w:ind w:left="334" w:right="117"/>
      </w:pPr>
      <w:r>
        <w:rPr/>
        <w:br w:type="column"/>
      </w:r>
      <w:r>
        <w:rPr>
          <w:spacing w:val="12"/>
        </w:rPr>
        <w:t>本法第三條第四款所稱語言障礙，指語言理解或語言表達能力與同年齡者</w:t>
      </w:r>
      <w:r>
        <w:rPr>
          <w:spacing w:val="12"/>
        </w:rPr>
        <w:t>相較，有顯著偏差或低落現象，造成溝通困難者。</w:t>
      </w:r>
    </w:p>
    <w:p>
      <w:pPr>
        <w:pStyle w:val="BodyText"/>
        <w:spacing w:line="306" w:lineRule="exact"/>
        <w:ind w:left="334"/>
      </w:pPr>
      <w:r>
        <w:rPr>
          <w:spacing w:val="13"/>
        </w:rPr>
        <w:t>前項所定語言障礙，其鑑定基準依下列各款規定之一：</w:t>
      </w:r>
    </w:p>
    <w:p>
      <w:pPr>
        <w:pStyle w:val="BodyText"/>
        <w:spacing w:line="316" w:lineRule="auto" w:before="98"/>
        <w:ind w:left="814" w:right="117" w:hanging="481"/>
      </w:pPr>
      <w:r>
        <w:rPr>
          <w:spacing w:val="14"/>
          <w:w w:val="102"/>
        </w:rPr>
        <w:t>一、構音異常：語音有省略、替代、添加、歪曲、聲調錯誤或含糊不清等</w:t>
      </w:r>
      <w:r>
        <w:rPr>
          <w:spacing w:val="10"/>
          <w:w w:val="102"/>
        </w:rPr>
        <w:t>現象。</w:t>
      </w:r>
    </w:p>
    <w:p>
      <w:pPr>
        <w:pStyle w:val="BodyText"/>
        <w:spacing w:line="316" w:lineRule="auto"/>
        <w:ind w:left="814" w:right="117" w:hanging="481"/>
      </w:pPr>
      <w:r>
        <w:rPr>
          <w:spacing w:val="12"/>
        </w:rPr>
        <w:t>二、嗓音異常：說話之音質、音調、音量或共鳴與個人之性別或年齡不相</w:t>
      </w:r>
      <w:r>
        <w:rPr>
          <w:spacing w:val="8"/>
        </w:rPr>
        <w:t>稱等現象。</w:t>
      </w:r>
    </w:p>
    <w:p>
      <w:pPr>
        <w:pStyle w:val="BodyText"/>
        <w:spacing w:line="316" w:lineRule="auto"/>
        <w:ind w:left="814" w:right="117" w:hanging="481"/>
      </w:pPr>
      <w:r>
        <w:rPr>
          <w:spacing w:val="12"/>
        </w:rPr>
        <w:t>三、語暢異常：說話節律有明顯且不自主之重複、延長、中斷、首語難發</w:t>
      </w:r>
      <w:r>
        <w:rPr>
          <w:spacing w:val="11"/>
        </w:rPr>
        <w:t>或急促不清等現象。</w:t>
      </w:r>
    </w:p>
    <w:p>
      <w:pPr>
        <w:pStyle w:val="BodyText"/>
        <w:spacing w:line="316" w:lineRule="auto"/>
        <w:ind w:left="814" w:right="117" w:hanging="481"/>
      </w:pPr>
      <w:r>
        <w:rPr>
          <w:spacing w:val="12"/>
        </w:rPr>
        <w:t>四、語言發展異常：語言之語形、語法、語意或語用異常，致語言理解或</w:t>
      </w:r>
      <w:r>
        <w:rPr>
          <w:spacing w:val="12"/>
        </w:rPr>
        <w:t>語言表達較同年齡者有顯著偏差或低落。</w:t>
      </w:r>
    </w:p>
    <w:p>
      <w:pPr>
        <w:pStyle w:val="BodyText"/>
        <w:spacing w:before="9"/>
        <w:rPr>
          <w:sz w:val="16"/>
        </w:rPr>
      </w:pPr>
    </w:p>
    <w:p>
      <w:pPr>
        <w:pStyle w:val="BodyText"/>
        <w:spacing w:line="316" w:lineRule="auto"/>
        <w:ind w:left="334" w:right="117"/>
      </w:pPr>
      <w:r>
        <w:rPr>
          <w:spacing w:val="12"/>
        </w:rPr>
        <w:t>本法第三條第五款所稱肢體障礙，指上肢、下肢或軀幹之機能有部分或全</w:t>
      </w:r>
      <w:r>
        <w:rPr>
          <w:spacing w:val="12"/>
        </w:rPr>
        <w:t>部障礙，致影響參與學習活動者。</w:t>
      </w:r>
    </w:p>
    <w:p>
      <w:pPr>
        <w:pStyle w:val="BodyText"/>
        <w:spacing w:line="306" w:lineRule="exact"/>
        <w:ind w:left="334"/>
      </w:pPr>
      <w:r>
        <w:rPr>
          <w:spacing w:val="14"/>
        </w:rPr>
        <w:t>前項所定肢體障礙，應由專科醫師診斷；其鑑定基準依下列各款規定之一</w:t>
      </w:r>
    </w:p>
    <w:p>
      <w:pPr>
        <w:spacing w:before="98"/>
        <w:ind w:left="334" w:right="0" w:firstLine="0"/>
        <w:jc w:val="left"/>
        <w:rPr>
          <w:sz w:val="22"/>
        </w:rPr>
      </w:pPr>
      <w:r>
        <w:rPr>
          <w:w w:val="102"/>
          <w:sz w:val="22"/>
        </w:rPr>
        <w:t>：</w:t>
      </w:r>
    </w:p>
    <w:p>
      <w:pPr>
        <w:pStyle w:val="BodyText"/>
        <w:spacing w:before="97"/>
        <w:ind w:left="334"/>
      </w:pPr>
      <w:r>
        <w:rPr>
          <w:spacing w:val="12"/>
        </w:rPr>
        <w:t>一、先天性肢體功能障礙。</w:t>
      </w:r>
    </w:p>
    <w:p>
      <w:pPr>
        <w:pStyle w:val="BodyText"/>
        <w:spacing w:before="98"/>
        <w:ind w:left="334"/>
      </w:pPr>
      <w:r>
        <w:rPr>
          <w:spacing w:val="13"/>
        </w:rPr>
        <w:t>二、疾病或意外導致永久性肢體功能障礙。</w:t>
      </w:r>
    </w:p>
    <w:p>
      <w:pPr>
        <w:pStyle w:val="BodyText"/>
        <w:spacing w:before="1"/>
        <w:rPr>
          <w:sz w:val="24"/>
        </w:rPr>
      </w:pPr>
    </w:p>
    <w:p>
      <w:pPr>
        <w:pStyle w:val="BodyText"/>
        <w:spacing w:line="316" w:lineRule="auto" w:before="1"/>
        <w:ind w:left="334" w:right="117"/>
        <w:jc w:val="both"/>
      </w:pPr>
      <w:r>
        <w:rPr>
          <w:spacing w:val="13"/>
          <w:w w:val="102"/>
        </w:rPr>
        <w:t>本法第三條第六款所稱腦性麻痺，指腦部發育中受到非進行性、非暫時性</w:t>
      </w:r>
      <w:r>
        <w:rPr>
          <w:spacing w:val="13"/>
          <w:w w:val="102"/>
        </w:rPr>
        <w:t>之腦部損傷而顯現出動作及姿勢發展有問題，或伴隨感覺、知覺、認知、溝通、學習、記憶及注意力等神經心理障礙，致在活動及生活上有顯著困</w:t>
      </w:r>
      <w:r>
        <w:rPr>
          <w:spacing w:val="10"/>
          <w:w w:val="102"/>
        </w:rPr>
        <w:t>難者。</w:t>
      </w:r>
    </w:p>
    <w:p>
      <w:pPr>
        <w:pStyle w:val="BodyText"/>
        <w:spacing w:line="304" w:lineRule="exact"/>
        <w:ind w:left="334"/>
        <w:jc w:val="both"/>
      </w:pPr>
      <w:r>
        <w:rPr>
          <w:spacing w:val="13"/>
        </w:rPr>
        <w:t>前項所定腦性麻痺，其鑑定由醫師診斷後認定。</w:t>
      </w:r>
    </w:p>
    <w:p>
      <w:pPr>
        <w:pStyle w:val="BodyText"/>
        <w:spacing w:before="2"/>
        <w:rPr>
          <w:sz w:val="24"/>
        </w:rPr>
      </w:pPr>
    </w:p>
    <w:p>
      <w:pPr>
        <w:pStyle w:val="BodyText"/>
        <w:ind w:left="334"/>
      </w:pPr>
      <w:r>
        <w:rPr>
          <w:spacing w:val="14"/>
        </w:rPr>
        <w:t>本法第三條第七款所稱身體病弱，指罹患疾病，體能衰弱，需要長期療養</w:t>
      </w:r>
    </w:p>
    <w:p>
      <w:pPr>
        <w:pStyle w:val="BodyText"/>
        <w:spacing w:before="97"/>
        <w:ind w:left="334"/>
      </w:pPr>
      <w:r>
        <w:rPr>
          <w:spacing w:val="12"/>
        </w:rPr>
        <w:t>，且影響學習活動者。</w:t>
      </w:r>
    </w:p>
    <w:p>
      <w:pPr>
        <w:pStyle w:val="BodyText"/>
        <w:spacing w:before="98"/>
        <w:ind w:left="334"/>
      </w:pPr>
      <w:r>
        <w:rPr>
          <w:spacing w:val="13"/>
        </w:rPr>
        <w:t>前項所定身體病弱，其鑑定由醫師診斷後認定。</w:t>
      </w:r>
    </w:p>
    <w:p>
      <w:pPr>
        <w:pStyle w:val="BodyText"/>
        <w:spacing w:before="2"/>
        <w:rPr>
          <w:sz w:val="24"/>
        </w:rPr>
      </w:pPr>
    </w:p>
    <w:p>
      <w:pPr>
        <w:pStyle w:val="BodyText"/>
        <w:spacing w:line="316" w:lineRule="auto"/>
        <w:ind w:left="334" w:right="117"/>
        <w:jc w:val="both"/>
      </w:pPr>
      <w:r>
        <w:rPr>
          <w:spacing w:val="13"/>
          <w:w w:val="102"/>
        </w:rPr>
        <w:t>本法第三條第八款所稱情緒行為障礙，指長期情緒或行為表現顯著異常，</w:t>
      </w:r>
      <w:r>
        <w:rPr>
          <w:spacing w:val="13"/>
          <w:w w:val="102"/>
        </w:rPr>
        <w:t>嚴重影響學校適應者；其障礙非因智能、感官或健康等因素直接造成之結</w:t>
      </w:r>
      <w:r>
        <w:rPr>
          <w:spacing w:val="7"/>
          <w:w w:val="102"/>
        </w:rPr>
        <w:t>果。</w:t>
      </w:r>
    </w:p>
    <w:p>
      <w:pPr>
        <w:pStyle w:val="BodyText"/>
        <w:spacing w:line="316" w:lineRule="auto"/>
        <w:ind w:left="334" w:right="117"/>
        <w:jc w:val="both"/>
      </w:pPr>
      <w:r>
        <w:rPr>
          <w:spacing w:val="12"/>
        </w:rPr>
        <w:t>前項情緒行為障礙之症狀，包括精神性疾患、情感性疾患、畏懼性疾患、</w:t>
      </w:r>
      <w:r>
        <w:rPr>
          <w:spacing w:val="14"/>
        </w:rPr>
        <w:t>焦慮性疾患、注意力缺陷過動症、或有其他持續性之情緒或行為問題者。</w:t>
      </w:r>
    </w:p>
    <w:p>
      <w:pPr>
        <w:spacing w:after="0" w:line="316" w:lineRule="auto"/>
        <w:jc w:val="both"/>
        <w:sectPr>
          <w:type w:val="continuous"/>
          <w:pgSz w:w="11900" w:h="16840"/>
          <w:pgMar w:header="298" w:footer="283" w:top="760" w:bottom="480" w:left="820" w:right="1140"/>
          <w:cols w:num="2" w:equalWidth="0">
            <w:col w:w="1777" w:space="40"/>
            <w:col w:w="8123"/>
          </w:cols>
        </w:sectPr>
      </w:pPr>
    </w:p>
    <w:p>
      <w:pPr>
        <w:pStyle w:val="BodyText"/>
        <w:spacing w:before="60"/>
        <w:ind w:left="2151"/>
      </w:pPr>
      <w:r>
        <w:rPr>
          <w:spacing w:val="14"/>
        </w:rPr>
        <w:t>第一項所定情緒行為障礙，其鑑定基準依下列各款規定：</w:t>
      </w:r>
    </w:p>
    <w:p>
      <w:pPr>
        <w:pStyle w:val="BodyText"/>
        <w:spacing w:line="316" w:lineRule="auto" w:before="97"/>
        <w:ind w:left="2631" w:right="117" w:hanging="481"/>
      </w:pPr>
      <w:r>
        <w:rPr>
          <w:spacing w:val="12"/>
        </w:rPr>
        <w:t>一、情緒或行為表現顯著異於其同年齡或社會文化之常態者，得參考精神</w:t>
      </w:r>
      <w:r>
        <w:rPr>
          <w:spacing w:val="11"/>
        </w:rPr>
        <w:t>科醫師之診斷認定之。</w:t>
      </w:r>
    </w:p>
    <w:p>
      <w:pPr>
        <w:pStyle w:val="BodyText"/>
        <w:spacing w:line="306" w:lineRule="exact"/>
        <w:ind w:left="2151"/>
      </w:pPr>
      <w:r>
        <w:rPr>
          <w:spacing w:val="14"/>
        </w:rPr>
        <w:t>二、除學校外，在家庭、社區、社會或任一情境中顯現適應困難。</w:t>
      </w:r>
    </w:p>
    <w:p>
      <w:pPr>
        <w:pStyle w:val="BodyText"/>
        <w:spacing w:line="316" w:lineRule="auto" w:before="98"/>
        <w:ind w:left="2631" w:right="117" w:hanging="481"/>
      </w:pPr>
      <w:r>
        <w:rPr>
          <w:spacing w:val="12"/>
        </w:rPr>
        <w:t>三、在學業、社會、人際、生活等適應有顯著困難，且經評估後確定一般</w:t>
      </w:r>
      <w:r>
        <w:rPr>
          <w:spacing w:val="12"/>
        </w:rPr>
        <w:t>教育所提供之介入，仍難獲得有效改善。</w:t>
      </w:r>
    </w:p>
    <w:p>
      <w:pPr>
        <w:pStyle w:val="BodyText"/>
        <w:spacing w:before="10"/>
        <w:rPr>
          <w:sz w:val="12"/>
        </w:rPr>
      </w:pPr>
    </w:p>
    <w:p>
      <w:pPr>
        <w:spacing w:after="0"/>
        <w:rPr>
          <w:sz w:val="12"/>
        </w:rPr>
        <w:sectPr>
          <w:pgSz w:w="11900" w:h="16840"/>
          <w:pgMar w:header="298" w:footer="283" w:top="760" w:bottom="480" w:left="820" w:right="1140"/>
        </w:sectPr>
      </w:pPr>
    </w:p>
    <w:p>
      <w:pPr>
        <w:pStyle w:val="BodyText"/>
        <w:spacing w:before="60"/>
        <w:ind w:left="831"/>
      </w:pPr>
      <w:r>
        <w:rPr>
          <w:spacing w:val="16"/>
        </w:rPr>
        <w:t>第 </w:t>
      </w:r>
      <w:r>
        <w:rPr/>
        <w:t>10</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95"/>
        <w:ind w:left="831"/>
      </w:pPr>
      <w:r>
        <w:rPr>
          <w:spacing w:val="16"/>
        </w:rPr>
        <w:t>第 </w:t>
      </w:r>
      <w:r>
        <w:rPr/>
        <w:t>11</w:t>
      </w:r>
      <w:r>
        <w:rPr>
          <w:spacing w:val="7"/>
        </w:rPr>
        <w:t> 條</w:t>
      </w:r>
    </w:p>
    <w:p>
      <w:pPr>
        <w:pStyle w:val="BodyText"/>
      </w:pPr>
    </w:p>
    <w:p>
      <w:pPr>
        <w:pStyle w:val="BodyText"/>
      </w:pPr>
    </w:p>
    <w:p>
      <w:pPr>
        <w:pStyle w:val="BodyText"/>
      </w:pPr>
    </w:p>
    <w:p>
      <w:pPr>
        <w:pStyle w:val="BodyText"/>
        <w:spacing w:before="2"/>
        <w:rPr>
          <w:sz w:val="16"/>
        </w:rPr>
      </w:pPr>
    </w:p>
    <w:p>
      <w:pPr>
        <w:pStyle w:val="BodyText"/>
        <w:ind w:left="831"/>
      </w:pPr>
      <w:r>
        <w:rPr>
          <w:spacing w:val="16"/>
        </w:rPr>
        <w:t>第 </w:t>
      </w:r>
      <w:r>
        <w:rPr/>
        <w:t>12</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5"/>
        </w:rPr>
      </w:pPr>
    </w:p>
    <w:p>
      <w:pPr>
        <w:pStyle w:val="BodyText"/>
        <w:ind w:left="831"/>
      </w:pPr>
      <w:r>
        <w:rPr>
          <w:spacing w:val="16"/>
        </w:rPr>
        <w:t>第 </w:t>
      </w:r>
      <w:r>
        <w:rPr/>
        <w:t>13</w:t>
      </w:r>
      <w:r>
        <w:rPr>
          <w:spacing w:val="7"/>
        </w:rPr>
        <w:t> 條</w:t>
      </w:r>
    </w:p>
    <w:p>
      <w:pPr>
        <w:pStyle w:val="BodyText"/>
      </w:pPr>
    </w:p>
    <w:p>
      <w:pPr>
        <w:pStyle w:val="BodyText"/>
      </w:pPr>
    </w:p>
    <w:p>
      <w:pPr>
        <w:pStyle w:val="BodyText"/>
      </w:pPr>
    </w:p>
    <w:p>
      <w:pPr>
        <w:pStyle w:val="BodyText"/>
      </w:pPr>
    </w:p>
    <w:p>
      <w:pPr>
        <w:pStyle w:val="BodyText"/>
      </w:pPr>
    </w:p>
    <w:p>
      <w:pPr>
        <w:pStyle w:val="BodyText"/>
        <w:rPr>
          <w:sz w:val="30"/>
        </w:rPr>
      </w:pPr>
    </w:p>
    <w:p>
      <w:pPr>
        <w:pStyle w:val="BodyText"/>
        <w:spacing w:before="1"/>
        <w:ind w:left="831"/>
      </w:pPr>
      <w:r>
        <w:rPr>
          <w:spacing w:val="16"/>
        </w:rPr>
        <w:t>第 </w:t>
      </w:r>
      <w:r>
        <w:rPr/>
        <w:t>14</w:t>
      </w:r>
      <w:r>
        <w:rPr>
          <w:spacing w:val="7"/>
        </w:rPr>
        <w:t> 條</w:t>
      </w:r>
    </w:p>
    <w:p>
      <w:pPr>
        <w:pStyle w:val="BodyText"/>
      </w:pPr>
    </w:p>
    <w:p>
      <w:pPr>
        <w:pStyle w:val="BodyText"/>
      </w:pPr>
    </w:p>
    <w:p>
      <w:pPr>
        <w:pStyle w:val="BodyText"/>
      </w:pPr>
    </w:p>
    <w:p>
      <w:pPr>
        <w:pStyle w:val="BodyText"/>
        <w:spacing w:before="1"/>
        <w:rPr>
          <w:sz w:val="16"/>
        </w:rPr>
      </w:pPr>
    </w:p>
    <w:p>
      <w:pPr>
        <w:pStyle w:val="BodyText"/>
        <w:ind w:left="831"/>
      </w:pPr>
      <w:r>
        <w:rPr>
          <w:spacing w:val="16"/>
        </w:rPr>
        <w:t>第 </w:t>
      </w:r>
      <w:r>
        <w:rPr/>
        <w:t>15</w:t>
      </w:r>
      <w:r>
        <w:rPr>
          <w:spacing w:val="7"/>
        </w:rPr>
        <w:t> 條</w:t>
      </w:r>
    </w:p>
    <w:p>
      <w:pPr>
        <w:pStyle w:val="BodyText"/>
        <w:spacing w:line="316" w:lineRule="auto" w:before="75"/>
        <w:ind w:left="334" w:right="117"/>
        <w:jc w:val="both"/>
      </w:pPr>
      <w:r>
        <w:rPr/>
        <w:br w:type="column"/>
      </w:r>
      <w:r>
        <w:rPr>
          <w:spacing w:val="12"/>
        </w:rPr>
        <w:t>本法第三條第九款所稱學習障礙，統稱神經心理功能異常而顯現出注意、</w:t>
      </w:r>
      <w:r>
        <w:rPr>
          <w:spacing w:val="12"/>
        </w:rPr>
        <w:t>記憶、理解、知覺、知覺動作、推理等能力有問題，致在聽、說、讀、寫或算等學習上有顯著困難者；其障礙並非因感官、智能、情緒等障礙因素或文化刺激不足、教學不當等環境因素所直接造成之結果。</w:t>
      </w:r>
    </w:p>
    <w:p>
      <w:pPr>
        <w:pStyle w:val="BodyText"/>
        <w:spacing w:line="316" w:lineRule="auto"/>
        <w:ind w:left="334" w:right="2518"/>
        <w:jc w:val="both"/>
      </w:pPr>
      <w:r>
        <w:rPr>
          <w:spacing w:val="12"/>
        </w:rPr>
        <w:t>前項所定學習障礙，其鑑定基準依下列各款規定：</w:t>
      </w:r>
      <w:r>
        <w:rPr>
          <w:spacing w:val="12"/>
        </w:rPr>
        <w:t>一、智力正常或在正常程度以上。</w:t>
      </w:r>
    </w:p>
    <w:p>
      <w:pPr>
        <w:pStyle w:val="BodyText"/>
        <w:spacing w:line="306" w:lineRule="exact"/>
        <w:ind w:left="334"/>
        <w:jc w:val="both"/>
      </w:pPr>
      <w:r>
        <w:rPr>
          <w:spacing w:val="13"/>
        </w:rPr>
        <w:t>二、個人內在能力有顯著差異。</w:t>
      </w:r>
    </w:p>
    <w:p>
      <w:pPr>
        <w:pStyle w:val="BodyText"/>
        <w:spacing w:line="316" w:lineRule="auto" w:before="94"/>
        <w:ind w:left="814" w:right="117" w:hanging="481"/>
        <w:jc w:val="both"/>
      </w:pPr>
      <w:r>
        <w:rPr>
          <w:spacing w:val="12"/>
        </w:rPr>
        <w:t>三、聽覺理解、口語表達、識字、閱讀理解、書寫、數學運算等學習表現</w:t>
      </w:r>
      <w:r>
        <w:rPr>
          <w:spacing w:val="12"/>
        </w:rPr>
        <w:t>有顯著困難，且經確定一般教育所提供之介入，仍難有效改善。</w:t>
      </w:r>
    </w:p>
    <w:p>
      <w:pPr>
        <w:pStyle w:val="BodyText"/>
        <w:spacing w:before="1"/>
        <w:rPr>
          <w:sz w:val="17"/>
        </w:rPr>
      </w:pPr>
    </w:p>
    <w:p>
      <w:pPr>
        <w:pStyle w:val="BodyText"/>
        <w:spacing w:line="316" w:lineRule="auto"/>
        <w:ind w:left="334" w:right="117"/>
        <w:jc w:val="both"/>
      </w:pPr>
      <w:r>
        <w:rPr>
          <w:spacing w:val="12"/>
        </w:rPr>
        <w:t>本法第三條第十款所稱多重障礙，指包括二種以上不具連帶關係且非源於</w:t>
      </w:r>
      <w:r>
        <w:rPr>
          <w:spacing w:val="12"/>
        </w:rPr>
        <w:t>同一原因造成之障礙而影響學習者。</w:t>
      </w:r>
    </w:p>
    <w:p>
      <w:pPr>
        <w:pStyle w:val="BodyText"/>
        <w:spacing w:line="306" w:lineRule="exact"/>
        <w:ind w:left="334"/>
        <w:jc w:val="both"/>
      </w:pPr>
      <w:r>
        <w:rPr>
          <w:spacing w:val="14"/>
        </w:rPr>
        <w:t>前項所定多重障礙，其鑑定應參照本辦法其他各類障礙之鑑定基準。</w:t>
      </w:r>
    </w:p>
    <w:p>
      <w:pPr>
        <w:pStyle w:val="BodyText"/>
        <w:spacing w:before="2"/>
        <w:rPr>
          <w:sz w:val="24"/>
        </w:rPr>
      </w:pPr>
    </w:p>
    <w:p>
      <w:pPr>
        <w:pStyle w:val="BodyText"/>
        <w:spacing w:line="316" w:lineRule="auto"/>
        <w:ind w:left="334" w:right="117"/>
        <w:jc w:val="both"/>
      </w:pPr>
      <w:r>
        <w:rPr>
          <w:spacing w:val="12"/>
        </w:rPr>
        <w:t>本法第三條第十一款所稱自閉症，指因神經心理功能異常而顯現出溝通、</w:t>
      </w:r>
      <w:r>
        <w:rPr>
          <w:spacing w:val="12"/>
        </w:rPr>
        <w:t>社會互動、行為及興趣表現上有嚴重問題，致在學習及生活適應上有顯著</w:t>
      </w:r>
      <w:r>
        <w:rPr>
          <w:spacing w:val="8"/>
        </w:rPr>
        <w:t>困難者。</w:t>
      </w:r>
    </w:p>
    <w:p>
      <w:pPr>
        <w:pStyle w:val="BodyText"/>
        <w:spacing w:line="316" w:lineRule="auto"/>
        <w:ind w:left="334" w:right="2758"/>
        <w:jc w:val="both"/>
      </w:pPr>
      <w:r>
        <w:rPr>
          <w:spacing w:val="12"/>
        </w:rPr>
        <w:t>前項所定自閉症，其鑑定基準依下列各款規定：</w:t>
      </w:r>
      <w:r>
        <w:rPr>
          <w:spacing w:val="12"/>
        </w:rPr>
        <w:t>一、顯著社會互動及溝通困難。</w:t>
      </w:r>
    </w:p>
    <w:p>
      <w:pPr>
        <w:pStyle w:val="BodyText"/>
        <w:spacing w:line="306" w:lineRule="exact"/>
        <w:ind w:left="334"/>
        <w:jc w:val="both"/>
      </w:pPr>
      <w:r>
        <w:rPr>
          <w:spacing w:val="13"/>
        </w:rPr>
        <w:t>二、表現出固定而有限之行為模式及興趣。</w:t>
      </w:r>
    </w:p>
    <w:p>
      <w:pPr>
        <w:pStyle w:val="BodyText"/>
        <w:spacing w:before="13"/>
        <w:rPr>
          <w:sz w:val="23"/>
        </w:rPr>
      </w:pPr>
    </w:p>
    <w:p>
      <w:pPr>
        <w:pStyle w:val="BodyText"/>
        <w:spacing w:line="316" w:lineRule="auto"/>
        <w:ind w:left="334" w:right="117"/>
        <w:jc w:val="both"/>
      </w:pPr>
      <w:r>
        <w:rPr>
          <w:spacing w:val="12"/>
        </w:rPr>
        <w:t>本法第三條第十二款所稱發展遲緩，指未滿六歲之兒童，因生理、心理或</w:t>
      </w:r>
      <w:r>
        <w:rPr>
          <w:spacing w:val="12"/>
        </w:rPr>
        <w:t>社會環境因素，在知覺、認知、動作、溝通、社會情緒或自理能力等方面之發展較同年齡者顯著遲緩，且其障礙類別無法確定者。</w:t>
      </w:r>
    </w:p>
    <w:p>
      <w:pPr>
        <w:pStyle w:val="BodyText"/>
        <w:spacing w:line="316" w:lineRule="auto"/>
        <w:ind w:left="334" w:right="117"/>
        <w:jc w:val="both"/>
      </w:pPr>
      <w:r>
        <w:rPr>
          <w:spacing w:val="13"/>
          <w:w w:val="102"/>
        </w:rPr>
        <w:t>前項所定發展遲緩，其鑑定依兒童發展及養育環境評估等資料，綜合研判</w:t>
      </w:r>
      <w:r>
        <w:rPr>
          <w:spacing w:val="7"/>
          <w:w w:val="102"/>
        </w:rPr>
        <w:t>之。</w:t>
      </w:r>
    </w:p>
    <w:p>
      <w:pPr>
        <w:pStyle w:val="BodyText"/>
        <w:spacing w:before="12"/>
        <w:rPr>
          <w:sz w:val="16"/>
        </w:rPr>
      </w:pPr>
    </w:p>
    <w:p>
      <w:pPr>
        <w:pStyle w:val="BodyText"/>
        <w:spacing w:line="316" w:lineRule="auto"/>
        <w:ind w:left="334" w:right="117"/>
        <w:jc w:val="both"/>
      </w:pPr>
      <w:r>
        <w:rPr>
          <w:spacing w:val="12"/>
        </w:rPr>
        <w:t>本法第三條第十三款所稱其他障礙，指在學習與生活有顯著困難，且其障</w:t>
      </w:r>
      <w:r>
        <w:rPr>
          <w:spacing w:val="12"/>
        </w:rPr>
        <w:t>礙類別無法歸類於第三條至第十三條類別者。</w:t>
      </w:r>
    </w:p>
    <w:p>
      <w:pPr>
        <w:pStyle w:val="BodyText"/>
        <w:spacing w:line="306" w:lineRule="exact"/>
        <w:ind w:left="334"/>
        <w:jc w:val="both"/>
      </w:pPr>
      <w:r>
        <w:rPr>
          <w:spacing w:val="13"/>
        </w:rPr>
        <w:t>前項所定其他障礙，其鑑定應由醫師診斷並開具證明。</w:t>
      </w:r>
    </w:p>
    <w:p>
      <w:pPr>
        <w:pStyle w:val="BodyText"/>
        <w:spacing w:before="2"/>
        <w:rPr>
          <w:sz w:val="24"/>
        </w:rPr>
      </w:pPr>
    </w:p>
    <w:p>
      <w:pPr>
        <w:pStyle w:val="BodyText"/>
        <w:ind w:left="334"/>
        <w:jc w:val="both"/>
      </w:pPr>
      <w:r>
        <w:rPr>
          <w:spacing w:val="14"/>
        </w:rPr>
        <w:t>本法第四條第一款所稱一般智能資賦優異，指在記憶、理解、分析、綜合</w:t>
      </w:r>
    </w:p>
    <w:p>
      <w:pPr>
        <w:pStyle w:val="BodyText"/>
        <w:spacing w:before="98"/>
        <w:ind w:left="334"/>
        <w:jc w:val="both"/>
      </w:pPr>
      <w:r>
        <w:rPr>
          <w:spacing w:val="14"/>
        </w:rPr>
        <w:t>、推理及評鑑等方面，較同年齡者具有卓越潛能或傑出表現者。</w:t>
      </w:r>
    </w:p>
    <w:p>
      <w:pPr>
        <w:spacing w:after="0"/>
        <w:jc w:val="both"/>
        <w:sectPr>
          <w:type w:val="continuous"/>
          <w:pgSz w:w="11900" w:h="16840"/>
          <w:pgMar w:header="298" w:footer="283" w:top="760" w:bottom="480" w:left="820" w:right="1140"/>
          <w:cols w:num="2" w:equalWidth="0">
            <w:col w:w="1777" w:space="40"/>
            <w:col w:w="8123"/>
          </w:cols>
        </w:sectPr>
      </w:pPr>
    </w:p>
    <w:p>
      <w:pPr>
        <w:pStyle w:val="BodyText"/>
        <w:spacing w:before="60"/>
        <w:ind w:left="2151"/>
      </w:pPr>
      <w:r>
        <w:rPr>
          <w:spacing w:val="14"/>
        </w:rPr>
        <w:t>前項所定一般智能資賦優異，其鑑定基準依下列各款規定：</w:t>
      </w:r>
    </w:p>
    <w:p>
      <w:pPr>
        <w:pStyle w:val="BodyText"/>
        <w:spacing w:before="97"/>
        <w:ind w:left="2151"/>
      </w:pPr>
      <w:r>
        <w:rPr>
          <w:spacing w:val="14"/>
        </w:rPr>
        <w:t>一、個別智力測驗評量結果在平均數正二個標準差或百分等級九十七以上</w:t>
      </w:r>
    </w:p>
    <w:p>
      <w:pPr>
        <w:spacing w:before="98"/>
        <w:ind w:left="2631" w:right="0" w:firstLine="0"/>
        <w:jc w:val="left"/>
        <w:rPr>
          <w:sz w:val="22"/>
        </w:rPr>
      </w:pPr>
      <w:r>
        <w:rPr>
          <w:w w:val="102"/>
          <w:sz w:val="22"/>
        </w:rPr>
        <w:t>。</w:t>
      </w:r>
    </w:p>
    <w:p>
      <w:pPr>
        <w:pStyle w:val="BodyText"/>
        <w:spacing w:line="316" w:lineRule="auto" w:before="97"/>
        <w:ind w:left="2631" w:right="117" w:hanging="481"/>
      </w:pPr>
      <w:r>
        <w:rPr>
          <w:spacing w:val="12"/>
        </w:rPr>
        <w:t>二、經專家學者、指導教師或家長觀察推薦，並檢附學習特質與表現卓越</w:t>
      </w:r>
      <w:r>
        <w:rPr>
          <w:spacing w:val="11"/>
        </w:rPr>
        <w:t>或傑出等之具體資料。</w:t>
      </w:r>
    </w:p>
    <w:p>
      <w:pPr>
        <w:pStyle w:val="BodyText"/>
        <w:spacing w:before="10"/>
        <w:rPr>
          <w:sz w:val="12"/>
        </w:rPr>
      </w:pPr>
    </w:p>
    <w:p>
      <w:pPr>
        <w:spacing w:after="0"/>
        <w:rPr>
          <w:sz w:val="12"/>
        </w:rPr>
        <w:sectPr>
          <w:pgSz w:w="11900" w:h="16840"/>
          <w:pgMar w:header="298" w:footer="283" w:top="760" w:bottom="480" w:left="820" w:right="1140"/>
        </w:sectPr>
      </w:pPr>
    </w:p>
    <w:p>
      <w:pPr>
        <w:pStyle w:val="BodyText"/>
        <w:spacing w:before="61"/>
        <w:ind w:left="831"/>
      </w:pPr>
      <w:r>
        <w:rPr>
          <w:spacing w:val="16"/>
        </w:rPr>
        <w:t>第 </w:t>
      </w:r>
      <w:r>
        <w:rPr/>
        <w:t>16</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80"/>
        <w:ind w:left="831"/>
      </w:pPr>
      <w:r>
        <w:rPr>
          <w:spacing w:val="16"/>
        </w:rPr>
        <w:t>第 </w:t>
      </w:r>
      <w:r>
        <w:rPr/>
        <w:t>17</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28"/>
        </w:rPr>
      </w:pPr>
    </w:p>
    <w:p>
      <w:pPr>
        <w:pStyle w:val="BodyText"/>
        <w:ind w:left="831"/>
      </w:pPr>
      <w:r>
        <w:rPr>
          <w:spacing w:val="16"/>
        </w:rPr>
        <w:t>第 </w:t>
      </w:r>
      <w:r>
        <w:rPr/>
        <w:t>18</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9"/>
        </w:rPr>
      </w:pPr>
    </w:p>
    <w:p>
      <w:pPr>
        <w:pStyle w:val="BodyText"/>
        <w:ind w:left="831"/>
      </w:pPr>
      <w:r>
        <w:rPr>
          <w:spacing w:val="16"/>
        </w:rPr>
        <w:t>第 </w:t>
      </w:r>
      <w:r>
        <w:rPr/>
        <w:t>19</w:t>
      </w:r>
      <w:r>
        <w:rPr>
          <w:spacing w:val="7"/>
        </w:rPr>
        <w:t> 條</w:t>
      </w:r>
    </w:p>
    <w:p>
      <w:pPr>
        <w:pStyle w:val="BodyText"/>
        <w:spacing w:line="316" w:lineRule="auto" w:before="76"/>
        <w:ind w:left="334" w:right="117"/>
        <w:jc w:val="both"/>
      </w:pPr>
      <w:r>
        <w:rPr/>
        <w:br w:type="column"/>
      </w:r>
      <w:r>
        <w:rPr>
          <w:spacing w:val="12"/>
        </w:rPr>
        <w:t>本法第四條第二款所稱學術性向資賦優異，指在語文、數學、社會科學或</w:t>
      </w:r>
      <w:r>
        <w:rPr>
          <w:spacing w:val="12"/>
        </w:rPr>
        <w:t>自然科學等學術領域，較同年齡者具有卓越潛能或傑出表現者。</w:t>
      </w:r>
    </w:p>
    <w:p>
      <w:pPr>
        <w:pStyle w:val="BodyText"/>
        <w:spacing w:line="306" w:lineRule="exact"/>
        <w:ind w:left="334"/>
        <w:jc w:val="both"/>
      </w:pPr>
      <w:r>
        <w:rPr>
          <w:spacing w:val="14"/>
        </w:rPr>
        <w:t>前項所定學術性向資賦優異，其鑑定基準依下列各款規定之一：</w:t>
      </w:r>
    </w:p>
    <w:p>
      <w:pPr>
        <w:pStyle w:val="BodyText"/>
        <w:spacing w:line="316" w:lineRule="auto" w:before="97"/>
        <w:ind w:left="814" w:right="117" w:hanging="481"/>
        <w:jc w:val="both"/>
      </w:pPr>
      <w:r>
        <w:rPr>
          <w:spacing w:val="12"/>
        </w:rPr>
        <w:t>一、前項任一領域學術性向或成就測驗得分在平均數正二個標準差或百分</w:t>
      </w:r>
      <w:r>
        <w:rPr>
          <w:spacing w:val="12"/>
        </w:rPr>
        <w:t>等級九十七以上，並經專家學者、指導教師或家長觀察推薦，及檢附專長學科學習特質與表現卓越或傑出等之具體資料。</w:t>
      </w:r>
    </w:p>
    <w:p>
      <w:pPr>
        <w:pStyle w:val="BodyText"/>
        <w:spacing w:line="316" w:lineRule="auto"/>
        <w:ind w:left="814" w:right="117" w:hanging="481"/>
        <w:jc w:val="both"/>
      </w:pPr>
      <w:r>
        <w:rPr>
          <w:spacing w:val="12"/>
        </w:rPr>
        <w:t>二、參加政府機關或學術研究機構舉辦之國際性或全國性有關學科競賽或</w:t>
      </w:r>
      <w:r>
        <w:rPr>
          <w:spacing w:val="12"/>
        </w:rPr>
        <w:t>展覽活動表現特別優異，獲前三等獎項。</w:t>
      </w:r>
    </w:p>
    <w:p>
      <w:pPr>
        <w:pStyle w:val="BodyText"/>
        <w:spacing w:line="316" w:lineRule="auto"/>
        <w:ind w:left="814" w:right="117" w:hanging="481"/>
        <w:jc w:val="both"/>
      </w:pPr>
      <w:r>
        <w:rPr>
          <w:spacing w:val="12"/>
        </w:rPr>
        <w:t>三、參加學術研究單位長期輔導之有關學科研習活動，成就特別優異，經</w:t>
      </w:r>
      <w:r>
        <w:rPr>
          <w:spacing w:val="11"/>
        </w:rPr>
        <w:t>主辦單位推薦。</w:t>
      </w:r>
    </w:p>
    <w:p>
      <w:pPr>
        <w:pStyle w:val="BodyText"/>
        <w:spacing w:line="306" w:lineRule="exact"/>
        <w:ind w:left="334"/>
        <w:jc w:val="both"/>
      </w:pPr>
      <w:r>
        <w:rPr>
          <w:spacing w:val="14"/>
        </w:rPr>
        <w:t>四、獨立研究成果優異並刊載於學術性刊物，經專家學者或指導教師推薦</w:t>
      </w:r>
    </w:p>
    <w:p>
      <w:pPr>
        <w:pStyle w:val="BodyText"/>
        <w:spacing w:before="93"/>
        <w:ind w:left="814"/>
        <w:jc w:val="both"/>
      </w:pPr>
      <w:r>
        <w:rPr>
          <w:spacing w:val="12"/>
        </w:rPr>
        <w:t>，並檢附具體資料。</w:t>
      </w:r>
    </w:p>
    <w:p>
      <w:pPr>
        <w:pStyle w:val="BodyText"/>
        <w:spacing w:before="2"/>
        <w:rPr>
          <w:sz w:val="24"/>
        </w:rPr>
      </w:pPr>
    </w:p>
    <w:p>
      <w:pPr>
        <w:pStyle w:val="BodyText"/>
        <w:spacing w:line="316" w:lineRule="auto"/>
        <w:ind w:left="334" w:right="117"/>
        <w:jc w:val="both"/>
      </w:pPr>
      <w:r>
        <w:rPr>
          <w:spacing w:val="12"/>
        </w:rPr>
        <w:t>本法第四條第三款所稱藝術才能資賦優異，指在視覺或表演藝術方面具有</w:t>
      </w:r>
      <w:r>
        <w:rPr>
          <w:spacing w:val="11"/>
        </w:rPr>
        <w:t>卓越潛能或傑出表現者。</w:t>
      </w:r>
    </w:p>
    <w:p>
      <w:pPr>
        <w:pStyle w:val="BodyText"/>
        <w:spacing w:line="306" w:lineRule="exact"/>
        <w:ind w:left="334"/>
        <w:jc w:val="both"/>
      </w:pPr>
      <w:r>
        <w:rPr>
          <w:spacing w:val="14"/>
        </w:rPr>
        <w:t>前項所定藝術才能資賦優異，其鑑定基準依下列各款規定之一：</w:t>
      </w:r>
    </w:p>
    <w:p>
      <w:pPr>
        <w:pStyle w:val="BodyText"/>
        <w:spacing w:line="316" w:lineRule="auto" w:before="98"/>
        <w:ind w:left="814" w:right="117" w:hanging="481"/>
        <w:jc w:val="both"/>
      </w:pPr>
      <w:r>
        <w:rPr>
          <w:spacing w:val="12"/>
        </w:rPr>
        <w:t>一、任一領域藝術性向測驗得分在平均數正二個標準差或百分等級九十七</w:t>
      </w:r>
      <w:r>
        <w:rPr>
          <w:spacing w:val="12"/>
        </w:rPr>
        <w:t>以上，或術科測驗表現優異，並經專家學者、指導教師或家長觀察推薦，及檢附藝術才能特質與表現卓越或傑出等之具體資料。</w:t>
      </w:r>
    </w:p>
    <w:p>
      <w:pPr>
        <w:pStyle w:val="BodyText"/>
        <w:spacing w:line="316" w:lineRule="auto"/>
        <w:ind w:left="814" w:right="117" w:hanging="481"/>
        <w:jc w:val="both"/>
      </w:pPr>
      <w:r>
        <w:rPr>
          <w:spacing w:val="12"/>
        </w:rPr>
        <w:t>二、參加政府機關或學術研究機構舉辦之國際性或全國性各該類科競賽表</w:t>
      </w:r>
      <w:r>
        <w:rPr>
          <w:spacing w:val="12"/>
        </w:rPr>
        <w:t>現特別優異，獲前三等獎項。</w:t>
      </w:r>
    </w:p>
    <w:p>
      <w:pPr>
        <w:pStyle w:val="BodyText"/>
        <w:spacing w:before="12"/>
        <w:rPr>
          <w:sz w:val="16"/>
        </w:rPr>
      </w:pPr>
    </w:p>
    <w:p>
      <w:pPr>
        <w:pStyle w:val="BodyText"/>
        <w:spacing w:line="316" w:lineRule="auto"/>
        <w:ind w:left="334" w:right="117"/>
        <w:jc w:val="both"/>
      </w:pPr>
      <w:r>
        <w:rPr>
          <w:spacing w:val="12"/>
        </w:rPr>
        <w:t>本法第四條第四款所稱創造能力資賦優異，指運用心智能力產生創新及建</w:t>
      </w:r>
      <w:r>
        <w:rPr>
          <w:spacing w:val="12"/>
        </w:rPr>
        <w:t>設性之作品、發明或解決問題，具有卓越潛能或傑出表現者。</w:t>
      </w:r>
    </w:p>
    <w:p>
      <w:pPr>
        <w:pStyle w:val="BodyText"/>
        <w:spacing w:line="306" w:lineRule="exact"/>
        <w:ind w:left="334"/>
        <w:jc w:val="both"/>
      </w:pPr>
      <w:r>
        <w:rPr>
          <w:spacing w:val="14"/>
        </w:rPr>
        <w:t>前項所定創造能力資賦優異，其鑑定基準依下列各款規定之一：</w:t>
      </w:r>
    </w:p>
    <w:p>
      <w:pPr>
        <w:pStyle w:val="BodyText"/>
        <w:spacing w:line="316" w:lineRule="auto" w:before="97"/>
        <w:ind w:left="814" w:right="117" w:hanging="481"/>
        <w:jc w:val="both"/>
      </w:pPr>
      <w:r>
        <w:rPr>
          <w:spacing w:val="12"/>
        </w:rPr>
        <w:t>一、創造能力測驗或創造性特質量表得分在平均數正二個標準差或百分等</w:t>
      </w:r>
      <w:r>
        <w:rPr>
          <w:spacing w:val="12"/>
        </w:rPr>
        <w:t>級九十七以上，並經專家學者、指導教師或家長觀察推薦，及檢附創造才能特質與表現卓越或傑出等之具體資料。</w:t>
      </w:r>
    </w:p>
    <w:p>
      <w:pPr>
        <w:pStyle w:val="BodyText"/>
        <w:spacing w:line="316" w:lineRule="auto"/>
        <w:ind w:left="814" w:right="117" w:hanging="481"/>
        <w:jc w:val="both"/>
      </w:pPr>
      <w:r>
        <w:rPr>
          <w:spacing w:val="12"/>
        </w:rPr>
        <w:t>二、參加政府機關或學術研究機構舉辦之國際性或全國性創造發明競賽表</w:t>
      </w:r>
      <w:r>
        <w:rPr>
          <w:spacing w:val="12"/>
        </w:rPr>
        <w:t>現特別優異，獲前三等獎項。</w:t>
      </w:r>
    </w:p>
    <w:p>
      <w:pPr>
        <w:pStyle w:val="BodyText"/>
        <w:spacing w:before="12"/>
        <w:rPr>
          <w:sz w:val="16"/>
        </w:rPr>
      </w:pPr>
    </w:p>
    <w:p>
      <w:pPr>
        <w:pStyle w:val="BodyText"/>
        <w:spacing w:line="316" w:lineRule="auto"/>
        <w:ind w:left="334" w:right="117"/>
        <w:jc w:val="both"/>
      </w:pPr>
      <w:r>
        <w:rPr>
          <w:spacing w:val="12"/>
        </w:rPr>
        <w:t>本法第四條第五款所稱領導能力資賦優異，指具有優異之計畫、組織、溝</w:t>
      </w:r>
      <w:r>
        <w:rPr>
          <w:spacing w:val="12"/>
        </w:rPr>
        <w:t>通、協調、決策、評鑑等能力，而在處理團體事務上有傑出表現者。</w:t>
      </w:r>
    </w:p>
    <w:p>
      <w:pPr>
        <w:spacing w:after="0" w:line="316" w:lineRule="auto"/>
        <w:jc w:val="both"/>
        <w:sectPr>
          <w:type w:val="continuous"/>
          <w:pgSz w:w="11900" w:h="16840"/>
          <w:pgMar w:header="298" w:footer="283" w:top="760" w:bottom="480" w:left="820" w:right="1140"/>
          <w:cols w:num="2" w:equalWidth="0">
            <w:col w:w="1777" w:space="40"/>
            <w:col w:w="8123"/>
          </w:cols>
        </w:sectPr>
      </w:pPr>
    </w:p>
    <w:p>
      <w:pPr>
        <w:pStyle w:val="BodyText"/>
        <w:spacing w:before="60"/>
        <w:ind w:left="2151"/>
      </w:pPr>
      <w:r>
        <w:rPr>
          <w:spacing w:val="14"/>
        </w:rPr>
        <w:t>前項所定領導能力資賦優異，其鑑定基準依下列各款規定：</w:t>
      </w:r>
    </w:p>
    <w:p>
      <w:pPr>
        <w:pStyle w:val="BodyText"/>
        <w:spacing w:line="316" w:lineRule="auto" w:before="97"/>
        <w:ind w:left="2631" w:right="117" w:hanging="481"/>
      </w:pPr>
      <w:r>
        <w:rPr>
          <w:spacing w:val="12"/>
        </w:rPr>
        <w:t>一、領導才能測驗或領導特質量表得分在平均數正二個標準差或百分等級</w:t>
      </w:r>
      <w:r>
        <w:rPr>
          <w:spacing w:val="9"/>
        </w:rPr>
        <w:t>九十七以上。</w:t>
      </w:r>
    </w:p>
    <w:p>
      <w:pPr>
        <w:pStyle w:val="BodyText"/>
        <w:spacing w:line="316" w:lineRule="auto"/>
        <w:ind w:left="2631" w:right="117" w:hanging="481"/>
      </w:pPr>
      <w:r>
        <w:rPr>
          <w:spacing w:val="12"/>
        </w:rPr>
        <w:t>二、經專家學者、指導教師、家長或同儕觀察推薦，並檢附領導才能特質</w:t>
      </w:r>
      <w:r>
        <w:rPr>
          <w:spacing w:val="11"/>
        </w:rPr>
        <w:t>與表現傑出等之具體資料。</w:t>
      </w:r>
    </w:p>
    <w:p>
      <w:pPr>
        <w:pStyle w:val="BodyText"/>
        <w:spacing w:before="9"/>
        <w:rPr>
          <w:sz w:val="12"/>
        </w:rPr>
      </w:pPr>
    </w:p>
    <w:p>
      <w:pPr>
        <w:spacing w:after="0"/>
        <w:rPr>
          <w:sz w:val="12"/>
        </w:rPr>
        <w:sectPr>
          <w:pgSz w:w="11900" w:h="16840"/>
          <w:pgMar w:header="298" w:footer="283" w:top="760" w:bottom="480" w:left="820" w:right="1140"/>
        </w:sectPr>
      </w:pPr>
    </w:p>
    <w:p>
      <w:pPr>
        <w:pStyle w:val="BodyText"/>
        <w:spacing w:before="60"/>
        <w:ind w:left="831"/>
      </w:pPr>
      <w:r>
        <w:rPr>
          <w:spacing w:val="16"/>
        </w:rPr>
        <w:t>第 </w:t>
      </w:r>
      <w:r>
        <w:rPr/>
        <w:t>20</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831"/>
      </w:pPr>
      <w:r>
        <w:rPr>
          <w:spacing w:val="16"/>
        </w:rPr>
        <w:t>第 </w:t>
      </w:r>
      <w:r>
        <w:rPr/>
        <w:t>21</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20"/>
        </w:rPr>
      </w:pPr>
    </w:p>
    <w:p>
      <w:pPr>
        <w:pStyle w:val="BodyText"/>
        <w:ind w:left="831"/>
      </w:pPr>
      <w:r>
        <w:rPr>
          <w:spacing w:val="16"/>
        </w:rPr>
        <w:t>第 </w:t>
      </w:r>
      <w:r>
        <w:rPr/>
        <w:t>22</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831"/>
      </w:pPr>
      <w:r>
        <w:rPr>
          <w:spacing w:val="16"/>
        </w:rPr>
        <w:t>第 </w:t>
      </w:r>
      <w:r>
        <w:rPr/>
        <w:t>23</w:t>
      </w:r>
      <w:r>
        <w:rPr>
          <w:spacing w:val="7"/>
        </w:rPr>
        <w:t> 條</w:t>
      </w:r>
    </w:p>
    <w:p>
      <w:pPr>
        <w:pStyle w:val="BodyText"/>
        <w:spacing w:before="75"/>
        <w:ind w:left="334"/>
      </w:pPr>
      <w:r>
        <w:rPr/>
        <w:br w:type="column"/>
      </w:r>
      <w:r>
        <w:rPr>
          <w:spacing w:val="14"/>
        </w:rPr>
        <w:t>本法第四條第六款所稱其他特殊才能資賦優異，指在肢體動作、工具運用</w:t>
      </w:r>
    </w:p>
    <w:p>
      <w:pPr>
        <w:pStyle w:val="BodyText"/>
        <w:spacing w:before="98"/>
        <w:ind w:left="334"/>
      </w:pPr>
      <w:r>
        <w:rPr>
          <w:spacing w:val="14"/>
        </w:rPr>
        <w:t>、資訊、棋藝、牌藝等能力具有卓越潛能或傑出表現者。</w:t>
      </w:r>
    </w:p>
    <w:p>
      <w:pPr>
        <w:pStyle w:val="BodyText"/>
        <w:spacing w:before="97"/>
        <w:ind w:left="334"/>
      </w:pPr>
      <w:r>
        <w:rPr>
          <w:spacing w:val="14"/>
        </w:rPr>
        <w:t>前項所定其他特殊才能資賦優異，其鑑定基準依下列各款規定：</w:t>
      </w:r>
    </w:p>
    <w:p>
      <w:pPr>
        <w:pStyle w:val="BodyText"/>
        <w:spacing w:line="316" w:lineRule="auto" w:before="98"/>
        <w:ind w:left="814" w:right="117" w:hanging="481"/>
      </w:pPr>
      <w:r>
        <w:rPr>
          <w:spacing w:val="12"/>
        </w:rPr>
        <w:t>一、參加政府機關或學術研究機構舉辦之國際性或全國性技藝競賽表現特</w:t>
      </w:r>
      <w:r>
        <w:rPr>
          <w:spacing w:val="11"/>
        </w:rPr>
        <w:t>別優異，獲前三等獎項。</w:t>
      </w:r>
    </w:p>
    <w:p>
      <w:pPr>
        <w:pStyle w:val="BodyText"/>
        <w:spacing w:line="316" w:lineRule="auto"/>
        <w:ind w:left="814" w:right="117" w:hanging="481"/>
      </w:pPr>
      <w:r>
        <w:rPr>
          <w:spacing w:val="12"/>
        </w:rPr>
        <w:t>二、經專家學者、指導教師或家長觀察推薦，並檢附專長才能特質與表現</w:t>
      </w:r>
      <w:r>
        <w:rPr>
          <w:spacing w:val="11"/>
        </w:rPr>
        <w:t>卓越或傑出等之具體資料。</w:t>
      </w:r>
    </w:p>
    <w:p>
      <w:pPr>
        <w:pStyle w:val="BodyText"/>
        <w:spacing w:before="12"/>
        <w:rPr>
          <w:sz w:val="16"/>
        </w:rPr>
      </w:pPr>
    </w:p>
    <w:p>
      <w:pPr>
        <w:pStyle w:val="BodyText"/>
        <w:spacing w:line="316" w:lineRule="auto"/>
        <w:ind w:left="334" w:right="117"/>
        <w:jc w:val="both"/>
      </w:pPr>
      <w:r>
        <w:rPr>
          <w:spacing w:val="12"/>
        </w:rPr>
        <w:t>身心障礙學生及資賦優異學生之鑑定，應依轉介、申請或推薦，蒐集相關</w:t>
      </w:r>
      <w:r>
        <w:rPr>
          <w:spacing w:val="12"/>
        </w:rPr>
        <w:t>資料，實施初步類別研判、教育需求評估及綜合研判後，完成包括教育安置建議及所需相關服務之評估報告。</w:t>
      </w:r>
    </w:p>
    <w:p>
      <w:pPr>
        <w:pStyle w:val="BodyText"/>
        <w:spacing w:line="316" w:lineRule="auto"/>
        <w:ind w:left="334" w:right="117"/>
        <w:jc w:val="both"/>
      </w:pPr>
      <w:r>
        <w:rPr>
          <w:spacing w:val="15"/>
          <w:w w:val="102"/>
        </w:rPr>
        <w:t>前項鑑定，各級主管機關特殊教育學生鑑定及就學輔導會（</w:t>
      </w:r>
      <w:r>
        <w:rPr>
          <w:spacing w:val="9"/>
          <w:w w:val="102"/>
        </w:rPr>
        <w:t>以下簡稱鑑輔</w:t>
      </w:r>
      <w:r>
        <w:rPr>
          <w:spacing w:val="15"/>
          <w:w w:val="102"/>
        </w:rPr>
        <w:t>會）</w:t>
      </w:r>
      <w:r>
        <w:rPr>
          <w:spacing w:val="13"/>
          <w:w w:val="102"/>
        </w:rPr>
        <w:t>應於每學年度上、下學期至少召開一次會議辦理，必要時得召開臨時</w:t>
      </w:r>
      <w:r>
        <w:rPr>
          <w:spacing w:val="10"/>
          <w:w w:val="102"/>
        </w:rPr>
        <w:t>會議。</w:t>
      </w:r>
    </w:p>
    <w:p>
      <w:pPr>
        <w:pStyle w:val="BodyText"/>
        <w:spacing w:line="305" w:lineRule="exact"/>
        <w:ind w:left="334"/>
        <w:jc w:val="both"/>
      </w:pPr>
      <w:r>
        <w:rPr>
          <w:spacing w:val="14"/>
        </w:rPr>
        <w:t>國民教育階段資賦優異學生之鑑定時程，應採入學後鑑定。但直轄市、縣</w:t>
      </w:r>
    </w:p>
    <w:p>
      <w:pPr>
        <w:pStyle w:val="BodyText"/>
        <w:spacing w:line="316" w:lineRule="auto" w:before="95"/>
        <w:ind w:left="334" w:right="117"/>
        <w:jc w:val="both"/>
      </w:pPr>
      <w:r>
        <w:rPr>
          <w:spacing w:val="13"/>
        </w:rPr>
        <w:t>（市）</w:t>
      </w:r>
      <w:r>
        <w:rPr>
          <w:spacing w:val="12"/>
        </w:rPr>
        <w:t>主管機關因專業考量、資源分配或其他特殊需求而有入學前鑑定之</w:t>
      </w:r>
      <w:r>
        <w:rPr>
          <w:spacing w:val="14"/>
        </w:rPr>
        <w:t>必要者，應經鑑輔會審議通過後，由主管機關核定實施，並報教育部備查</w:t>
      </w:r>
    </w:p>
    <w:p>
      <w:pPr>
        <w:spacing w:line="306" w:lineRule="exact" w:before="0"/>
        <w:ind w:left="334" w:right="0" w:firstLine="0"/>
        <w:jc w:val="left"/>
        <w:rPr>
          <w:sz w:val="22"/>
        </w:rPr>
      </w:pPr>
      <w:r>
        <w:rPr>
          <w:w w:val="102"/>
          <w:sz w:val="22"/>
        </w:rPr>
        <w:t>。</w:t>
      </w:r>
    </w:p>
    <w:p>
      <w:pPr>
        <w:pStyle w:val="BodyText"/>
        <w:spacing w:before="2"/>
        <w:rPr>
          <w:sz w:val="24"/>
        </w:rPr>
      </w:pPr>
    </w:p>
    <w:p>
      <w:pPr>
        <w:pStyle w:val="BodyText"/>
        <w:spacing w:line="316" w:lineRule="auto"/>
        <w:ind w:left="334" w:right="117"/>
      </w:pPr>
      <w:r>
        <w:rPr>
          <w:spacing w:val="12"/>
        </w:rPr>
        <w:t>各類身心障礙學生之教育需求評估，應包括健康狀況、感官功能、知覺動</w:t>
      </w:r>
      <w:r>
        <w:rPr>
          <w:spacing w:val="13"/>
        </w:rPr>
        <w:t>作、生活自理、認知、溝通、情緒、社會行為、學科（領域）</w:t>
      </w:r>
      <w:r>
        <w:rPr>
          <w:spacing w:val="9"/>
        </w:rPr>
        <w:t>學習等。</w:t>
      </w:r>
      <w:r>
        <w:rPr>
          <w:spacing w:val="40"/>
        </w:rPr>
        <w:t>  </w:t>
      </w:r>
      <w:r>
        <w:rPr>
          <w:spacing w:val="12"/>
        </w:rPr>
        <w:t>各類資賦優異學生之教育需求評估，應包括健康狀況、認知、溝通、情緒</w:t>
      </w:r>
    </w:p>
    <w:p>
      <w:pPr>
        <w:pStyle w:val="BodyText"/>
        <w:spacing w:line="305" w:lineRule="exact"/>
        <w:ind w:left="334"/>
      </w:pPr>
      <w:r>
        <w:rPr>
          <w:spacing w:val="15"/>
        </w:rPr>
        <w:t>、社會行為、學科（領域）</w:t>
      </w:r>
      <w:r>
        <w:rPr>
          <w:spacing w:val="13"/>
        </w:rPr>
        <w:t>學習、特殊才能、創造力等。</w:t>
      </w:r>
    </w:p>
    <w:p>
      <w:pPr>
        <w:pStyle w:val="BodyText"/>
        <w:spacing w:line="316" w:lineRule="auto" w:before="98"/>
        <w:ind w:left="334" w:right="117"/>
        <w:jc w:val="both"/>
      </w:pPr>
      <w:r>
        <w:rPr>
          <w:spacing w:val="13"/>
          <w:w w:val="102"/>
        </w:rPr>
        <w:t>前二項教育需求評估，應依學生之需求選擇必要之評估項目，並於評估報</w:t>
      </w:r>
      <w:r>
        <w:rPr>
          <w:spacing w:val="13"/>
          <w:w w:val="102"/>
        </w:rPr>
        <w:t>告中註明優弱勢能力，所需之教育安置、評量、環境調整及轉銜輔導等建</w:t>
      </w:r>
      <w:r>
        <w:rPr>
          <w:spacing w:val="7"/>
          <w:w w:val="102"/>
        </w:rPr>
        <w:t>議。</w:t>
      </w:r>
    </w:p>
    <w:p>
      <w:pPr>
        <w:pStyle w:val="BodyText"/>
        <w:spacing w:before="13"/>
        <w:rPr>
          <w:sz w:val="16"/>
        </w:rPr>
      </w:pPr>
    </w:p>
    <w:p>
      <w:pPr>
        <w:pStyle w:val="BodyText"/>
        <w:spacing w:line="316" w:lineRule="auto"/>
        <w:ind w:left="334" w:right="117"/>
        <w:jc w:val="both"/>
      </w:pPr>
      <w:r>
        <w:rPr>
          <w:spacing w:val="12"/>
        </w:rPr>
        <w:t>經鑑輔會鑑定安置之身心障礙學生或資賦優異學生，遇障礙情形改變、優</w:t>
      </w:r>
      <w:r>
        <w:rPr>
          <w:spacing w:val="12"/>
        </w:rPr>
        <w:t>弱勢能力改變、適應不良或其他特殊需求時，得由教師、家長或學生本人向學校或主管機關提出重新評估之申請；其鑑定程序，依第二十一條第一項規定辦理。主管機關並得視需要主動辦理重新評估。</w:t>
      </w:r>
    </w:p>
    <w:p>
      <w:pPr>
        <w:pStyle w:val="BodyText"/>
        <w:spacing w:line="304" w:lineRule="exact"/>
        <w:ind w:left="334"/>
        <w:jc w:val="both"/>
      </w:pPr>
      <w:r>
        <w:rPr>
          <w:spacing w:val="14"/>
        </w:rPr>
        <w:t>前項重新評估，應註明重新評估之原因；身心障礙學生應檢附個別化教育</w:t>
      </w:r>
    </w:p>
    <w:p>
      <w:pPr>
        <w:pStyle w:val="BodyText"/>
        <w:spacing w:before="98"/>
        <w:ind w:left="334"/>
        <w:jc w:val="both"/>
      </w:pPr>
      <w:r>
        <w:rPr>
          <w:spacing w:val="15"/>
        </w:rPr>
        <w:t>（支持）</w:t>
      </w:r>
      <w:r>
        <w:rPr>
          <w:spacing w:val="13"/>
        </w:rPr>
        <w:t>計畫，資賦優異學生應檢附個別輔導計畫。</w:t>
      </w:r>
    </w:p>
    <w:p>
      <w:pPr>
        <w:spacing w:after="0"/>
        <w:jc w:val="both"/>
        <w:sectPr>
          <w:type w:val="continuous"/>
          <w:pgSz w:w="11900" w:h="16840"/>
          <w:pgMar w:header="298" w:footer="283" w:top="760" w:bottom="480" w:left="820" w:right="1140"/>
          <w:cols w:num="2" w:equalWidth="0">
            <w:col w:w="1777" w:space="40"/>
            <w:col w:w="8123"/>
          </w:cols>
        </w:sectPr>
      </w:pPr>
    </w:p>
    <w:p>
      <w:pPr>
        <w:pStyle w:val="BodyText"/>
        <w:spacing w:before="7"/>
        <w:rPr>
          <w:sz w:val="7"/>
        </w:rPr>
      </w:pPr>
      <w:r>
        <w:rPr/>
        <w:pict>
          <v:rect style="position:absolute;margin-left:46.503628pt;margin-top:90.024681pt;width:502.743085pt;height:.750363pt;mso-position-horizontal-relative:page;mso-position-vertical-relative:page;z-index:15729152" id="docshape9" filled="true" fillcolor="#bfbfbf" stroked="false">
            <v:fill type="solid"/>
            <w10:wrap type="none"/>
          </v:rect>
        </w:pict>
      </w:r>
    </w:p>
    <w:p>
      <w:pPr>
        <w:pStyle w:val="BodyText"/>
        <w:tabs>
          <w:tab w:pos="2150" w:val="left" w:leader="none"/>
        </w:tabs>
        <w:spacing w:before="55"/>
        <w:ind w:left="831"/>
      </w:pPr>
      <w:r>
        <w:rPr>
          <w:position w:val="2"/>
        </w:rPr>
        <w:t>第</w:t>
      </w:r>
      <w:r>
        <w:rPr>
          <w:spacing w:val="33"/>
          <w:position w:val="2"/>
        </w:rPr>
        <w:t> </w:t>
      </w:r>
      <w:r>
        <w:rPr>
          <w:position w:val="2"/>
        </w:rPr>
        <w:t>24</w:t>
      </w:r>
      <w:r>
        <w:rPr>
          <w:spacing w:val="24"/>
          <w:position w:val="2"/>
        </w:rPr>
        <w:t> </w:t>
      </w:r>
      <w:r>
        <w:rPr>
          <w:spacing w:val="-10"/>
          <w:position w:val="2"/>
        </w:rPr>
        <w:t>條</w:t>
      </w:r>
      <w:r>
        <w:rPr>
          <w:position w:val="2"/>
        </w:rPr>
        <w:tab/>
      </w:r>
      <w:r>
        <w:rPr>
          <w:spacing w:val="15"/>
        </w:rPr>
        <w:t>本辦法自發布日施行</w:t>
      </w:r>
      <w:r>
        <w:rPr>
          <w:spacing w:val="-10"/>
        </w:rPr>
        <w:t>。</w:t>
      </w:r>
    </w:p>
    <w:p>
      <w:pPr>
        <w:pStyle w:val="BodyText"/>
        <w:rPr>
          <w:sz w:val="24"/>
        </w:rPr>
      </w:pPr>
    </w:p>
    <w:p>
      <w:pPr>
        <w:pStyle w:val="BodyText"/>
        <w:spacing w:before="2"/>
        <w:rPr>
          <w:sz w:val="20"/>
        </w:rPr>
      </w:pPr>
    </w:p>
    <w:p>
      <w:pPr>
        <w:spacing w:before="0"/>
        <w:ind w:left="110" w:right="0" w:firstLine="0"/>
        <w:jc w:val="left"/>
        <w:rPr>
          <w:sz w:val="18"/>
        </w:rPr>
      </w:pPr>
      <w:r>
        <w:rPr>
          <w:spacing w:val="-1"/>
          <w:sz w:val="18"/>
        </w:rPr>
        <w:t>資料來源：全國法規資料庫</w:t>
      </w:r>
    </w:p>
    <w:sectPr>
      <w:pgSz w:w="11900" w:h="16840"/>
      <w:pgMar w:header="298" w:footer="283" w:top="760" w:bottom="480" w:left="8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Arial">
    <w:altName w:val="Arial"/>
    <w:charset w:val="0"/>
    <w:family w:val="swiss"/>
    <w:pitch w:val="variable"/>
  </w:font>
  <w:font w:name="Microsoft JhengHei UI">
    <w:altName w:val="Microsoft JhengHei UI"/>
    <w:charset w:val="88"/>
    <w:family w:val="swiss"/>
    <w:pitch w:val="variable"/>
  </w:font>
  <w:font w:name="細明體">
    <w:altName w:val="細明體"/>
    <w:charset w:val="88"/>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3pt;margin-top:816.757751pt;width:255.45pt;height:10.95pt;mso-position-horizontal-relative:page;mso-position-vertical-relative:page;z-index:-15930880" type="#_x0000_t202" id="docshape3" filled="false" stroked="false">
          <v:textbox inset="0,0,0,0">
            <w:txbxContent>
              <w:p>
                <w:pPr>
                  <w:spacing w:before="14"/>
                  <w:ind w:left="20" w:right="0" w:firstLine="0"/>
                  <w:jc w:val="left"/>
                  <w:rPr>
                    <w:rFonts w:ascii="Arial"/>
                    <w:sz w:val="16"/>
                  </w:rPr>
                </w:pPr>
                <w:r>
                  <w:rPr>
                    <w:rFonts w:ascii="Arial"/>
                    <w:spacing w:val="-7"/>
                    <w:sz w:val="16"/>
                  </w:rPr>
                  <w:t>https://law.moj.gov.tw/LawClass/LawAll.aspx?media=print&amp;pcode=H0080065</w:t>
                </w:r>
              </w:p>
            </w:txbxContent>
          </v:textbox>
          <w10:wrap type="none"/>
        </v:shape>
      </w:pict>
    </w:r>
    <w:r>
      <w:rPr/>
      <w:pict>
        <v:shape style="position:absolute;margin-left:555.546814pt;margin-top:816.757751pt;width:14.45pt;height:10.95pt;mso-position-horizontal-relative:page;mso-position-vertical-relative:page;z-index:-15930368" type="#_x0000_t202" id="docshape4" filled="false" stroked="false">
          <v:textbox inset="0,0,0,0">
            <w:txbxContent>
              <w:p>
                <w:pPr>
                  <w:spacing w:before="14"/>
                  <w:ind w:left="60" w:right="0" w:firstLine="0"/>
                  <w:jc w:val="left"/>
                  <w:rPr>
                    <w:rFonts w:ascii="Arial"/>
                    <w:sz w:val="16"/>
                  </w:rPr>
                </w:pPr>
                <w:r>
                  <w:rPr>
                    <w:rFonts w:ascii="Arial"/>
                    <w:spacing w:val="-5"/>
                    <w:sz w:val="16"/>
                  </w:rPr>
                  <w:fldChar w:fldCharType="begin"/>
                </w:r>
                <w:r>
                  <w:rPr>
                    <w:rFonts w:ascii="Arial"/>
                    <w:spacing w:val="-5"/>
                    <w:sz w:val="16"/>
                  </w:rPr>
                  <w:instrText>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NUMPAGES </w:instrText>
                </w:r>
                <w:r>
                  <w:rPr>
                    <w:rFonts w:ascii="Arial"/>
                    <w:spacing w:val="-5"/>
                    <w:sz w:val="16"/>
                  </w:rPr>
                  <w:fldChar w:fldCharType="separate"/>
                </w:r>
                <w:r>
                  <w:rPr>
                    <w:rFonts w:ascii="Arial"/>
                    <w:spacing w:val="-5"/>
                    <w:sz w:val="16"/>
                  </w:rPr>
                  <w:t>6</w:t>
                </w:r>
                <w:r>
                  <w:rPr>
                    <w:rFonts w:ascii="Arial"/>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8.10936pt;margin-top:13.875002pt;width:181pt;height:12.2pt;mso-position-horizontal-relative:page;mso-position-vertical-relative:page;z-index:-15931904" type="#_x0000_t202" id="docshape1" filled="false" stroked="false">
          <v:textbox inset="0,0,0,0">
            <w:txbxContent>
              <w:p>
                <w:pPr>
                  <w:spacing w:line="243" w:lineRule="exact" w:before="0"/>
                  <w:ind w:left="20" w:right="0" w:firstLine="0"/>
                  <w:jc w:val="left"/>
                  <w:rPr>
                    <w:rFonts w:ascii="Microsoft JhengHei UI" w:eastAsia="Microsoft JhengHei UI" w:hint="eastAsia"/>
                    <w:sz w:val="16"/>
                  </w:rPr>
                </w:pPr>
                <w:r>
                  <w:rPr>
                    <w:rFonts w:ascii="Microsoft JhengHei UI" w:eastAsia="Microsoft JhengHei UI" w:hint="eastAsia"/>
                    <w:sz w:val="16"/>
                  </w:rPr>
                  <w:t>身心障礙及資賦優異學生鑑定辦法</w:t>
                </w:r>
                <w:r>
                  <w:rPr>
                    <w:rFonts w:ascii="Arial" w:eastAsia="Arial"/>
                    <w:sz w:val="16"/>
                  </w:rPr>
                  <w:t>-</w:t>
                </w:r>
                <w:r>
                  <w:rPr>
                    <w:rFonts w:ascii="Microsoft JhengHei UI" w:eastAsia="Microsoft JhengHei UI" w:hint="eastAsia"/>
                    <w:spacing w:val="-2"/>
                    <w:sz w:val="16"/>
                  </w:rPr>
                  <w:t>全國法規資料庫</w:t>
                </w:r>
              </w:p>
            </w:txbxContent>
          </v:textbox>
          <w10:wrap type="none"/>
        </v:shape>
      </w:pict>
    </w:r>
    <w:r>
      <w:rPr/>
      <w:pict>
        <v:shape style="position:absolute;margin-left:25.453123pt;margin-top:14.757814pt;width:34.450pt;height:10.95pt;mso-position-horizontal-relative:page;mso-position-vertical-relative:page;z-index:-15931392" type="#_x0000_t202" id="docshape2" filled="false" stroked="false">
          <v:textbox inset="0,0,0,0">
            <w:txbxContent>
              <w:p>
                <w:pPr>
                  <w:spacing w:before="14"/>
                  <w:ind w:left="20" w:right="0" w:firstLine="0"/>
                  <w:jc w:val="left"/>
                  <w:rPr>
                    <w:rFonts w:ascii="Arial"/>
                    <w:sz w:val="16"/>
                  </w:rPr>
                </w:pPr>
                <w:r>
                  <w:rPr>
                    <w:rFonts w:ascii="Arial"/>
                    <w:spacing w:val="-7"/>
                    <w:sz w:val="16"/>
                  </w:rPr>
                  <w:t>2020/5/26</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rPr>
      <w:rFonts w:ascii="細明體" w:hAnsi="細明體" w:eastAsia="細明體" w:cs="細明體"/>
      <w:sz w:val="22"/>
      <w:szCs w:val="22"/>
      <w:lang w:val="en-US" w:eastAsia="zh-TW" w:bidi="ar-SA"/>
    </w:rPr>
  </w:style>
  <w:style w:styleId="Title" w:type="paragraph">
    <w:name w:val="Title"/>
    <w:basedOn w:val="Normal"/>
    <w:uiPriority w:val="1"/>
    <w:qFormat/>
    <w:pPr>
      <w:spacing w:before="48"/>
      <w:ind w:left="335"/>
    </w:pPr>
    <w:rPr>
      <w:rFonts w:ascii="新細明體" w:hAnsi="新細明體" w:eastAsia="新細明體" w:cs="新細明體"/>
      <w:sz w:val="23"/>
      <w:szCs w:val="23"/>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2024-01-17T00:51:13Z</dcterms:created>
  <dcterms:modified xsi:type="dcterms:W3CDTF">2024-01-17T00:51:13Z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Mozilla/5.0 (Windows NT 6.1; Win64; x64) AppleWebKit/537.36 (KHTML, like Gecko) Chrome/81.0.4044.138 Safari/537.36</vt:lpwstr>
  </property>
  <property fmtid="{D5CDD505-2E9C-101B-9397-08002B2CF9AE}" pid="4" name="LastSaved">
    <vt:filetime>2024-01-17T00:00:00Z</vt:filetime>
  </property>
  <property fmtid="{D5CDD505-2E9C-101B-9397-08002B2CF9AE}" pid="5" name="Producer">
    <vt:lpwstr>Skia/PDF m81</vt:lpwstr>
  </property>
</Properties>
</file>