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3679"/>
      </w:pPr>
      <w:r>
        <w:rPr>
          <w:spacing w:val="-2"/>
        </w:rPr>
        <w:t>法規名稱：特殊教育行政支持網絡聯繫及運作辦法</w:t>
      </w:r>
      <w:r>
        <w:rPr/>
        <w:t>修正日期：民國 112 年 11 月 01 日</w:t>
      </w:r>
    </w:p>
    <w:p>
      <w:pPr>
        <w:pStyle w:val="BodyText"/>
        <w:spacing w:before="12"/>
        <w:ind w:left="0"/>
        <w:rPr>
          <w:sz w:val="32"/>
        </w:rPr>
      </w:pPr>
    </w:p>
    <w:p>
      <w:pPr>
        <w:pStyle w:val="Heading1"/>
        <w:spacing w:before="0"/>
      </w:pPr>
      <w:r>
        <w:rPr>
          <w:spacing w:val="-2"/>
        </w:rPr>
        <w:t>第 </w:t>
      </w:r>
      <w:r>
        <w:rPr/>
        <w:t>1</w:t>
      </w:r>
      <w:r>
        <w:rPr>
          <w:spacing w:val="-7"/>
        </w:rPr>
        <w:t> 條</w:t>
      </w:r>
    </w:p>
    <w:p>
      <w:pPr>
        <w:pStyle w:val="BodyText"/>
        <w:spacing w:before="135"/>
      </w:pPr>
      <w:r>
        <w:rPr>
          <w:spacing w:val="-1"/>
        </w:rPr>
        <w:t>本辦法依特殊教育法第五十一條第三項規定訂定之。</w:t>
      </w:r>
    </w:p>
    <w:p>
      <w:pPr>
        <w:pStyle w:val="Heading1"/>
        <w:spacing w:before="152"/>
      </w:pPr>
      <w:r>
        <w:rPr>
          <w:spacing w:val="-2"/>
        </w:rPr>
        <w:t>第 </w:t>
      </w:r>
      <w:r>
        <w:rPr/>
        <w:t>2</w:t>
      </w:r>
      <w:r>
        <w:rPr>
          <w:spacing w:val="-7"/>
        </w:rPr>
        <w:t> 條</w:t>
      </w:r>
    </w:p>
    <w:p>
      <w:pPr>
        <w:pStyle w:val="ListParagraph"/>
        <w:numPr>
          <w:ilvl w:val="0"/>
          <w:numId w:val="1"/>
        </w:numPr>
        <w:tabs>
          <w:tab w:pos="463" w:val="left" w:leader="none"/>
        </w:tabs>
        <w:spacing w:line="256" w:lineRule="auto" w:before="124" w:after="0"/>
        <w:ind w:left="460" w:right="5655" w:hanging="360"/>
        <w:jc w:val="left"/>
        <w:rPr>
          <w:sz w:val="22"/>
        </w:rPr>
      </w:pPr>
      <w:r>
        <w:rPr>
          <w:spacing w:val="-2"/>
          <w:sz w:val="22"/>
        </w:rPr>
        <w:t>本辦法所稱學校之範圍如下：</w:t>
      </w:r>
      <w:r>
        <w:rPr>
          <w:spacing w:val="-2"/>
          <w:sz w:val="22"/>
        </w:rPr>
        <w:t>一、國立大專校院。</w:t>
      </w:r>
    </w:p>
    <w:p>
      <w:pPr>
        <w:pStyle w:val="BodyText"/>
        <w:spacing w:before="2"/>
      </w:pPr>
      <w:r>
        <w:rPr>
          <w:spacing w:val="-1"/>
        </w:rPr>
        <w:t>二、國立高級中等學校及特殊教育學校。</w:t>
      </w:r>
    </w:p>
    <w:p>
      <w:pPr>
        <w:pStyle w:val="BodyText"/>
      </w:pPr>
      <w:r>
        <w:rPr/>
        <w:t>三、教育部（以下簡稱本部）</w:t>
      </w:r>
      <w:r>
        <w:rPr>
          <w:spacing w:val="-1"/>
        </w:rPr>
        <w:t>主管之私立高級中等以上學校。</w:t>
      </w:r>
    </w:p>
    <w:p>
      <w:pPr>
        <w:pStyle w:val="ListParagraph"/>
        <w:numPr>
          <w:ilvl w:val="0"/>
          <w:numId w:val="1"/>
        </w:numPr>
        <w:tabs>
          <w:tab w:pos="463" w:val="left" w:leader="none"/>
        </w:tabs>
        <w:spacing w:line="249" w:lineRule="auto" w:before="13" w:after="0"/>
        <w:ind w:left="460" w:right="155" w:hanging="360"/>
        <w:jc w:val="both"/>
        <w:rPr>
          <w:sz w:val="22"/>
        </w:rPr>
      </w:pPr>
      <w:r>
        <w:rPr>
          <w:spacing w:val="-2"/>
          <w:sz w:val="22"/>
        </w:rPr>
        <w:t>國立附屬（設）幼兒園、國民小學或國民中學，申請提供特殊教育行政支持網絡（以下</w:t>
      </w:r>
      <w:r>
        <w:rPr>
          <w:spacing w:val="-2"/>
          <w:sz w:val="22"/>
        </w:rPr>
        <w:t>簡稱支持網絡）之諮詢、輔導及服務，另依直轄市、縣（市）主管機關所定自治法規辦</w:t>
      </w:r>
      <w:r>
        <w:rPr>
          <w:spacing w:val="-6"/>
          <w:sz w:val="22"/>
        </w:rPr>
        <w:t>理。</w:t>
      </w:r>
    </w:p>
    <w:p>
      <w:pPr>
        <w:pStyle w:val="Heading1"/>
        <w:jc w:val="both"/>
      </w:pPr>
      <w:r>
        <w:rPr>
          <w:spacing w:val="-2"/>
        </w:rPr>
        <w:t>第 </w:t>
      </w:r>
      <w:r>
        <w:rPr/>
        <w:t>3</w:t>
      </w:r>
      <w:r>
        <w:rPr>
          <w:spacing w:val="-7"/>
        </w:rPr>
        <w:t> 條</w:t>
      </w:r>
    </w:p>
    <w:p>
      <w:pPr>
        <w:pStyle w:val="ListParagraph"/>
        <w:numPr>
          <w:ilvl w:val="0"/>
          <w:numId w:val="2"/>
        </w:numPr>
        <w:tabs>
          <w:tab w:pos="463" w:val="left" w:leader="none"/>
        </w:tabs>
        <w:spacing w:line="240" w:lineRule="auto" w:before="124" w:after="0"/>
        <w:ind w:left="462" w:right="0" w:hanging="363"/>
        <w:jc w:val="both"/>
        <w:rPr>
          <w:sz w:val="22"/>
        </w:rPr>
      </w:pPr>
      <w:r>
        <w:rPr>
          <w:spacing w:val="-1"/>
          <w:sz w:val="22"/>
        </w:rPr>
        <w:t>本部建立之支持網絡，包括下列各單位：</w:t>
      </w:r>
    </w:p>
    <w:p>
      <w:pPr>
        <w:pStyle w:val="BodyText"/>
        <w:spacing w:before="23"/>
      </w:pPr>
      <w:r>
        <w:rPr/>
        <w:t>一、本部特殊教育諮詢會（以下簡稱特諮會）</w:t>
      </w:r>
      <w:r>
        <w:rPr>
          <w:spacing w:val="-10"/>
        </w:rPr>
        <w:t>。</w:t>
      </w:r>
    </w:p>
    <w:p>
      <w:pPr>
        <w:pStyle w:val="BodyText"/>
        <w:spacing w:line="256" w:lineRule="auto"/>
        <w:ind w:right="2359"/>
      </w:pPr>
      <w:r>
        <w:rPr>
          <w:spacing w:val="-2"/>
        </w:rPr>
        <w:t>二、本部特殊教育學生鑑定及就學輔導會（以下簡稱鑑輔會）</w:t>
      </w:r>
      <w:r>
        <w:rPr>
          <w:spacing w:val="-2"/>
        </w:rPr>
        <w:t>。三、本部特殊教育資源中心（以下簡稱資源中心）。</w:t>
      </w:r>
    </w:p>
    <w:p>
      <w:pPr>
        <w:pStyle w:val="BodyText"/>
        <w:spacing w:line="256" w:lineRule="auto" w:before="1"/>
        <w:ind w:right="2579"/>
      </w:pPr>
      <w:r>
        <w:rPr>
          <w:spacing w:val="-2"/>
        </w:rPr>
        <w:t>四、本部區域特殊教育資源中心（以下簡稱區域資源中心）</w:t>
      </w:r>
      <w:r>
        <w:rPr>
          <w:spacing w:val="-2"/>
        </w:rPr>
        <w:t>。五、本部特殊教育輔導團（以下簡稱輔導團）。</w:t>
      </w:r>
    </w:p>
    <w:p>
      <w:pPr>
        <w:pStyle w:val="BodyText"/>
        <w:spacing w:line="256" w:lineRule="auto" w:before="2"/>
        <w:ind w:right="3019"/>
      </w:pPr>
      <w:r>
        <w:rPr>
          <w:spacing w:val="-2"/>
        </w:rPr>
        <w:t>六、本部身心障礙學生輔具中心（以下簡稱輔具中心）</w:t>
      </w:r>
      <w:r>
        <w:rPr>
          <w:spacing w:val="-2"/>
        </w:rPr>
        <w:t>。七、本部特殊教育通報網（以下簡稱通報網）。</w:t>
      </w:r>
    </w:p>
    <w:p>
      <w:pPr>
        <w:pStyle w:val="BodyText"/>
        <w:spacing w:before="2"/>
      </w:pPr>
      <w:r>
        <w:rPr/>
        <w:t>八、本部特殊教育網路中心（以下簡稱網路中心）</w:t>
      </w:r>
      <w:r>
        <w:rPr>
          <w:spacing w:val="-10"/>
        </w:rPr>
        <w:t>。</w:t>
      </w:r>
    </w:p>
    <w:p>
      <w:pPr>
        <w:pStyle w:val="BodyText"/>
      </w:pPr>
      <w:r>
        <w:rPr/>
        <w:t>九、大學校院特殊教育中心（以下簡稱大學特教中心）</w:t>
      </w:r>
      <w:r>
        <w:rPr>
          <w:spacing w:val="-10"/>
        </w:rPr>
        <w:t>。</w:t>
      </w:r>
    </w:p>
    <w:p>
      <w:pPr>
        <w:pStyle w:val="ListParagraph"/>
        <w:numPr>
          <w:ilvl w:val="0"/>
          <w:numId w:val="2"/>
        </w:numPr>
        <w:tabs>
          <w:tab w:pos="463" w:val="left" w:leader="none"/>
        </w:tabs>
        <w:spacing w:line="249" w:lineRule="auto" w:before="12" w:after="0"/>
        <w:ind w:left="460" w:right="155" w:hanging="360"/>
        <w:jc w:val="left"/>
        <w:rPr>
          <w:sz w:val="22"/>
        </w:rPr>
      </w:pPr>
      <w:r>
        <w:rPr>
          <w:spacing w:val="-2"/>
          <w:sz w:val="22"/>
        </w:rPr>
        <w:t>前項支持網絡，涉及中央社政、衛生福利、勞政及其他目的事業主管機關職掌者，本部</w:t>
      </w:r>
      <w:r>
        <w:rPr>
          <w:spacing w:val="-2"/>
          <w:sz w:val="22"/>
        </w:rPr>
        <w:t>應協調各該機關協助辦理。</w:t>
      </w:r>
    </w:p>
    <w:p>
      <w:pPr>
        <w:pStyle w:val="Heading1"/>
      </w:pPr>
      <w:r>
        <w:rPr>
          <w:spacing w:val="-2"/>
        </w:rPr>
        <w:t>第 </w:t>
      </w:r>
      <w:r>
        <w:rPr/>
        <w:t>4</w:t>
      </w:r>
      <w:r>
        <w:rPr>
          <w:spacing w:val="-7"/>
        </w:rPr>
        <w:t> 條</w:t>
      </w:r>
    </w:p>
    <w:p>
      <w:pPr>
        <w:pStyle w:val="BodyText"/>
        <w:spacing w:before="135"/>
      </w:pPr>
      <w:r>
        <w:rPr>
          <w:spacing w:val="-1"/>
        </w:rPr>
        <w:t>支持網絡各單位之任務如下：</w:t>
      </w:r>
    </w:p>
    <w:p>
      <w:pPr>
        <w:pStyle w:val="BodyText"/>
      </w:pPr>
      <w:r>
        <w:rPr>
          <w:spacing w:val="-1"/>
        </w:rPr>
        <w:t>一、特諮會：提供支持網絡發展之諮詢及成效評估。</w:t>
      </w:r>
    </w:p>
    <w:p>
      <w:pPr>
        <w:pStyle w:val="BodyText"/>
        <w:spacing w:line="256" w:lineRule="auto" w:before="23"/>
        <w:ind w:right="1919"/>
      </w:pPr>
      <w:r>
        <w:rPr>
          <w:spacing w:val="-2"/>
        </w:rPr>
        <w:t>二、鑑輔會：辦理特殊教育學生鑑定、就學安置、輔導及支持服務。三、資源中心：</w:t>
      </w:r>
    </w:p>
    <w:p>
      <w:pPr>
        <w:pStyle w:val="BodyText"/>
        <w:spacing w:before="1"/>
      </w:pPr>
      <w:r>
        <w:rPr/>
        <w:t>（一）</w:t>
      </w:r>
      <w:r>
        <w:rPr>
          <w:spacing w:val="-1"/>
        </w:rPr>
        <w:t>整合支持網絡相關資源，並規劃及分配提供特殊教育學生所需服務。</w:t>
      </w:r>
    </w:p>
    <w:p>
      <w:pPr>
        <w:pStyle w:val="BodyText"/>
      </w:pPr>
      <w:r>
        <w:rPr/>
        <w:t>（二）</w:t>
      </w:r>
      <w:r>
        <w:rPr>
          <w:spacing w:val="-1"/>
        </w:rPr>
        <w:t>協助各校學生轉介鑑定、通報與建立人力及社區資源庫。</w:t>
      </w:r>
    </w:p>
    <w:p>
      <w:pPr>
        <w:pStyle w:val="BodyText"/>
        <w:spacing w:line="256" w:lineRule="auto" w:before="23"/>
        <w:ind w:left="1180" w:right="159" w:hanging="720"/>
      </w:pPr>
      <w:r>
        <w:rPr>
          <w:spacing w:val="-2"/>
        </w:rPr>
        <w:t>（三）提供教學資源與輔助器材、特殊教育教師巡迴服務、專業人員服務、支持服務、諮詢及輔導。</w:t>
      </w:r>
    </w:p>
    <w:p>
      <w:pPr>
        <w:pStyle w:val="BodyText"/>
        <w:spacing w:before="1"/>
      </w:pPr>
      <w:r>
        <w:rPr/>
        <w:t>（四）</w:t>
      </w:r>
      <w:r>
        <w:rPr>
          <w:spacing w:val="-1"/>
        </w:rPr>
        <w:t>彙集支持網絡運作成效之檢核及建議。</w:t>
      </w:r>
    </w:p>
    <w:p>
      <w:pPr>
        <w:pStyle w:val="BodyText"/>
        <w:spacing w:before="23"/>
      </w:pPr>
      <w:r>
        <w:rPr>
          <w:spacing w:val="-1"/>
        </w:rPr>
        <w:t>四、區域資源中心：提供社區、學校及幼兒園相關資源與支持服務。</w:t>
      </w:r>
    </w:p>
    <w:p>
      <w:pPr>
        <w:pStyle w:val="BodyText"/>
        <w:spacing w:line="256" w:lineRule="auto"/>
        <w:ind w:left="940" w:right="119" w:hanging="480"/>
        <w:jc w:val="both"/>
      </w:pPr>
      <w:r>
        <w:rPr>
          <w:spacing w:val="-2"/>
        </w:rPr>
        <w:t>五、輔導團：協助特殊教育政策之推展，提升高級中等以下學校及特殊教育學校特殊教育相關人員教學、輔導效能，並協助直轄市、縣（市）主管機關特殊教育輔導團運作行政協調、合作及諮詢服務。</w:t>
      </w:r>
    </w:p>
    <w:p>
      <w:pPr>
        <w:pStyle w:val="BodyText"/>
        <w:spacing w:before="3"/>
      </w:pPr>
      <w:r>
        <w:rPr>
          <w:spacing w:val="-1"/>
        </w:rPr>
        <w:t>六、輔具中心：辦理學生輔具需求申請、評估、借用、操作訓練、諮詢及維修。</w:t>
      </w:r>
    </w:p>
    <w:p>
      <w:pPr>
        <w:pStyle w:val="BodyText"/>
      </w:pPr>
      <w:r>
        <w:rPr>
          <w:spacing w:val="-1"/>
        </w:rPr>
        <w:t>七、通報網：建置特殊教育學生通報、轉銜及大專校院申請支持網絡各單位之作業平台</w:t>
      </w:r>
    </w:p>
    <w:p>
      <w:pPr>
        <w:pStyle w:val="BodyText"/>
        <w:ind w:left="940"/>
      </w:pPr>
      <w:r>
        <w:rPr>
          <w:spacing w:val="-1"/>
        </w:rPr>
        <w:t>，並提供教育訓練及網路操作諮詢。</w:t>
      </w:r>
    </w:p>
    <w:p>
      <w:pPr>
        <w:spacing w:after="0"/>
        <w:sectPr>
          <w:type w:val="continuous"/>
          <w:pgSz w:w="11900" w:h="16840"/>
          <w:pgMar w:top="440" w:bottom="280" w:left="1540" w:right="1380"/>
        </w:sectPr>
      </w:pPr>
    </w:p>
    <w:p>
      <w:pPr>
        <w:pStyle w:val="BodyText"/>
        <w:spacing w:line="256" w:lineRule="auto" w:before="30"/>
        <w:ind w:left="940" w:right="119" w:hanging="480"/>
        <w:jc w:val="both"/>
      </w:pPr>
      <w:r>
        <w:rPr>
          <w:spacing w:val="-2"/>
        </w:rPr>
        <w:t>八、網路中心：建置國立高級中等學校、國立特殊教育學校及本部主管之私立高級中等學校申請支持網絡各單位之作業平台，並提供特殊教育學生就學安置、轉銜通報等諮詢服務。</w:t>
      </w:r>
    </w:p>
    <w:p>
      <w:pPr>
        <w:pStyle w:val="BodyText"/>
        <w:spacing w:before="2"/>
      </w:pPr>
      <w:r>
        <w:rPr>
          <w:spacing w:val="-1"/>
        </w:rPr>
        <w:t>九、大學特教中心：協助有關特殊教育學生之鑑定、教學、諮詢及輔導工作。</w:t>
      </w:r>
    </w:p>
    <w:p>
      <w:pPr>
        <w:pStyle w:val="Heading1"/>
        <w:spacing w:before="152"/>
      </w:pPr>
      <w:r>
        <w:rPr>
          <w:spacing w:val="-2"/>
        </w:rPr>
        <w:t>第 </w:t>
      </w:r>
      <w:r>
        <w:rPr/>
        <w:t>5</w:t>
      </w:r>
      <w:r>
        <w:rPr>
          <w:spacing w:val="-7"/>
        </w:rPr>
        <w:t> 條</w:t>
      </w:r>
    </w:p>
    <w:p>
      <w:pPr>
        <w:pStyle w:val="ListParagraph"/>
        <w:numPr>
          <w:ilvl w:val="0"/>
          <w:numId w:val="3"/>
        </w:numPr>
        <w:tabs>
          <w:tab w:pos="463" w:val="left" w:leader="none"/>
        </w:tabs>
        <w:spacing w:line="249" w:lineRule="auto" w:before="125" w:after="0"/>
        <w:ind w:left="460" w:right="155" w:hanging="360"/>
        <w:jc w:val="both"/>
        <w:rPr>
          <w:sz w:val="22"/>
        </w:rPr>
      </w:pPr>
      <w:r>
        <w:rPr>
          <w:spacing w:val="-2"/>
          <w:sz w:val="22"/>
        </w:rPr>
        <w:t>學校得依據特殊教育學生個別化教育計畫或特殊教育方案所需，向支持網絡各單位申請</w:t>
      </w:r>
      <w:r>
        <w:rPr>
          <w:spacing w:val="-2"/>
          <w:sz w:val="22"/>
        </w:rPr>
        <w:t>提供特殊教育教師巡迴輔導、專業人員服務、教育及運動輔具、諮詢及其他相關支持服</w:t>
      </w:r>
      <w:r>
        <w:rPr>
          <w:spacing w:val="-2"/>
          <w:sz w:val="22"/>
        </w:rPr>
        <w:t>務；支持網絡各單位應於學校申請後二星期內，評估個案需求，並提供必要之諮詢、輔</w:t>
      </w:r>
      <w:r>
        <w:rPr>
          <w:spacing w:val="-2"/>
          <w:sz w:val="22"/>
        </w:rPr>
        <w:t>導及服務。</w:t>
      </w:r>
    </w:p>
    <w:p>
      <w:pPr>
        <w:pStyle w:val="ListParagraph"/>
        <w:numPr>
          <w:ilvl w:val="0"/>
          <w:numId w:val="3"/>
        </w:numPr>
        <w:tabs>
          <w:tab w:pos="463" w:val="left" w:leader="none"/>
        </w:tabs>
        <w:spacing w:line="249" w:lineRule="auto" w:before="0" w:after="0"/>
        <w:ind w:left="460" w:right="155" w:hanging="360"/>
        <w:jc w:val="both"/>
        <w:rPr>
          <w:sz w:val="22"/>
        </w:rPr>
      </w:pPr>
      <w:r>
        <w:rPr>
          <w:spacing w:val="-2"/>
          <w:sz w:val="22"/>
        </w:rPr>
        <w:t>通報網或網路中心所建置支持網絡各單位之作業平台，得提供學校向支持網絡各單位申</w:t>
      </w:r>
      <w:r>
        <w:rPr>
          <w:spacing w:val="-2"/>
          <w:sz w:val="22"/>
        </w:rPr>
        <w:t>請前項必要之諮詢、輔導及服務，並公告支持網絡各單位最新訊息及動態。</w:t>
      </w:r>
    </w:p>
    <w:p>
      <w:pPr>
        <w:pStyle w:val="Heading1"/>
        <w:jc w:val="both"/>
      </w:pPr>
      <w:r>
        <w:rPr>
          <w:spacing w:val="-2"/>
        </w:rPr>
        <w:t>第 </w:t>
      </w:r>
      <w:r>
        <w:rPr/>
        <w:t>6</w:t>
      </w:r>
      <w:r>
        <w:rPr>
          <w:spacing w:val="-7"/>
        </w:rPr>
        <w:t> 條</w:t>
      </w:r>
    </w:p>
    <w:p>
      <w:pPr>
        <w:pStyle w:val="ListParagraph"/>
        <w:numPr>
          <w:ilvl w:val="0"/>
          <w:numId w:val="4"/>
        </w:numPr>
        <w:tabs>
          <w:tab w:pos="463" w:val="left" w:leader="none"/>
        </w:tabs>
        <w:spacing w:line="249" w:lineRule="auto" w:before="124" w:after="0"/>
        <w:ind w:left="460" w:right="155" w:hanging="360"/>
        <w:jc w:val="both"/>
        <w:rPr>
          <w:sz w:val="22"/>
        </w:rPr>
      </w:pPr>
      <w:r>
        <w:rPr>
          <w:spacing w:val="-2"/>
          <w:sz w:val="22"/>
        </w:rPr>
        <w:t>支持網絡各單位應依其任務定期召開會議，研訂、執行及檢討各工作計畫，並編列相關</w:t>
      </w:r>
      <w:r>
        <w:rPr>
          <w:spacing w:val="-4"/>
          <w:sz w:val="22"/>
        </w:rPr>
        <w:t>經費。</w:t>
      </w:r>
    </w:p>
    <w:p>
      <w:pPr>
        <w:pStyle w:val="ListParagraph"/>
        <w:numPr>
          <w:ilvl w:val="0"/>
          <w:numId w:val="4"/>
        </w:numPr>
        <w:tabs>
          <w:tab w:pos="463" w:val="left" w:leader="none"/>
        </w:tabs>
        <w:spacing w:line="249" w:lineRule="auto" w:before="1" w:after="0"/>
        <w:ind w:left="460" w:right="155" w:hanging="360"/>
        <w:jc w:val="both"/>
        <w:rPr>
          <w:sz w:val="22"/>
        </w:rPr>
      </w:pPr>
      <w:r>
        <w:rPr>
          <w:spacing w:val="-2"/>
          <w:sz w:val="22"/>
        </w:rPr>
        <w:t>本部每年至少應召開一次支持網絡聯繫會議，強化支持網絡各單位之聯繫及合作，並規</w:t>
      </w:r>
      <w:r>
        <w:rPr>
          <w:spacing w:val="-2"/>
          <w:sz w:val="22"/>
        </w:rPr>
        <w:t>劃、檢討特殊教育實施現況及未來發展；必要時，得召開臨時會議。</w:t>
      </w:r>
    </w:p>
    <w:p>
      <w:pPr>
        <w:pStyle w:val="Heading1"/>
        <w:jc w:val="both"/>
      </w:pPr>
      <w:r>
        <w:rPr>
          <w:spacing w:val="-2"/>
        </w:rPr>
        <w:t>第 </w:t>
      </w:r>
      <w:r>
        <w:rPr/>
        <w:t>7</w:t>
      </w:r>
      <w:r>
        <w:rPr>
          <w:spacing w:val="-7"/>
        </w:rPr>
        <w:t> 條</w:t>
      </w:r>
    </w:p>
    <w:p>
      <w:pPr>
        <w:pStyle w:val="BodyText"/>
        <w:spacing w:line="256" w:lineRule="auto" w:before="134"/>
        <w:ind w:right="159"/>
        <w:jc w:val="both"/>
      </w:pPr>
      <w:r>
        <w:rPr>
          <w:spacing w:val="-2"/>
        </w:rPr>
        <w:t>本部應定期檢核支持網絡各單位之運作績效，作為訂定特殊教育政策及編列年度預算與經費（資源）分配依據，並彙整學校對支持網絡提供之服務品質建議，檢討改進服務措</w:t>
      </w:r>
      <w:r>
        <w:rPr>
          <w:spacing w:val="-6"/>
        </w:rPr>
        <w:t>施。</w:t>
      </w:r>
    </w:p>
    <w:p>
      <w:pPr>
        <w:pStyle w:val="Heading1"/>
        <w:spacing w:before="132"/>
        <w:jc w:val="both"/>
      </w:pPr>
      <w:r>
        <w:rPr>
          <w:spacing w:val="-2"/>
        </w:rPr>
        <w:t>第 </w:t>
      </w:r>
      <w:r>
        <w:rPr/>
        <w:t>8</w:t>
      </w:r>
      <w:r>
        <w:rPr>
          <w:spacing w:val="-7"/>
        </w:rPr>
        <w:t> 條</w:t>
      </w:r>
    </w:p>
    <w:p>
      <w:pPr>
        <w:pStyle w:val="BodyText"/>
        <w:spacing w:line="256" w:lineRule="auto" w:before="135"/>
        <w:ind w:right="159"/>
      </w:pPr>
      <w:r>
        <w:rPr>
          <w:spacing w:val="-2"/>
        </w:rPr>
        <w:t>支持網絡各單位及學校辦理相關業務時，應依個人資料保護法規及其他相關規定，保護個人資料，並加強資訊安全維護。</w:t>
      </w:r>
    </w:p>
    <w:p>
      <w:pPr>
        <w:pStyle w:val="Heading1"/>
        <w:spacing w:before="131"/>
      </w:pPr>
      <w:r>
        <w:rPr>
          <w:spacing w:val="-2"/>
        </w:rPr>
        <w:t>第 </w:t>
      </w:r>
      <w:r>
        <w:rPr/>
        <w:t>9</w:t>
      </w:r>
      <w:r>
        <w:rPr>
          <w:spacing w:val="-7"/>
        </w:rPr>
        <w:t> 條</w:t>
      </w:r>
    </w:p>
    <w:p>
      <w:pPr>
        <w:pStyle w:val="BodyText"/>
        <w:spacing w:before="135"/>
      </w:pPr>
      <w:r>
        <w:rPr>
          <w:spacing w:val="-1"/>
        </w:rPr>
        <w:t>本辦法自發布日施行。</w:t>
      </w:r>
    </w:p>
    <w:sectPr>
      <w:pgSz w:w="11900" w:h="16840"/>
      <w:pgMar w:top="480" w:bottom="280" w:left="15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1">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2" w:hanging="363"/>
      </w:pPr>
      <w:rPr>
        <w:rFonts w:hint="default"/>
        <w:lang w:val="en-US" w:eastAsia="zh-TW" w:bidi="ar-SA"/>
      </w:rPr>
    </w:lvl>
    <w:lvl w:ilvl="2">
      <w:start w:val="0"/>
      <w:numFmt w:val="bullet"/>
      <w:lvlText w:val="•"/>
      <w:lvlJc w:val="left"/>
      <w:pPr>
        <w:ind w:left="2164" w:hanging="363"/>
      </w:pPr>
      <w:rPr>
        <w:rFonts w:hint="default"/>
        <w:lang w:val="en-US" w:eastAsia="zh-TW" w:bidi="ar-SA"/>
      </w:rPr>
    </w:lvl>
    <w:lvl w:ilvl="3">
      <w:start w:val="0"/>
      <w:numFmt w:val="bullet"/>
      <w:lvlText w:val="•"/>
      <w:lvlJc w:val="left"/>
      <w:pPr>
        <w:ind w:left="3016" w:hanging="363"/>
      </w:pPr>
      <w:rPr>
        <w:rFonts w:hint="default"/>
        <w:lang w:val="en-US" w:eastAsia="zh-TW" w:bidi="ar-SA"/>
      </w:rPr>
    </w:lvl>
    <w:lvl w:ilvl="4">
      <w:start w:val="0"/>
      <w:numFmt w:val="bullet"/>
      <w:lvlText w:val="•"/>
      <w:lvlJc w:val="left"/>
      <w:pPr>
        <w:ind w:left="3868" w:hanging="363"/>
      </w:pPr>
      <w:rPr>
        <w:rFonts w:hint="default"/>
        <w:lang w:val="en-US" w:eastAsia="zh-TW" w:bidi="ar-SA"/>
      </w:rPr>
    </w:lvl>
    <w:lvl w:ilvl="5">
      <w:start w:val="0"/>
      <w:numFmt w:val="bullet"/>
      <w:lvlText w:val="•"/>
      <w:lvlJc w:val="left"/>
      <w:pPr>
        <w:ind w:left="4720" w:hanging="363"/>
      </w:pPr>
      <w:rPr>
        <w:rFonts w:hint="default"/>
        <w:lang w:val="en-US" w:eastAsia="zh-TW" w:bidi="ar-SA"/>
      </w:rPr>
    </w:lvl>
    <w:lvl w:ilvl="6">
      <w:start w:val="0"/>
      <w:numFmt w:val="bullet"/>
      <w:lvlText w:val="•"/>
      <w:lvlJc w:val="left"/>
      <w:pPr>
        <w:ind w:left="5572" w:hanging="363"/>
      </w:pPr>
      <w:rPr>
        <w:rFonts w:hint="default"/>
        <w:lang w:val="en-US" w:eastAsia="zh-TW" w:bidi="ar-SA"/>
      </w:rPr>
    </w:lvl>
    <w:lvl w:ilvl="7">
      <w:start w:val="0"/>
      <w:numFmt w:val="bullet"/>
      <w:lvlText w:val="•"/>
      <w:lvlJc w:val="left"/>
      <w:pPr>
        <w:ind w:left="6424" w:hanging="363"/>
      </w:pPr>
      <w:rPr>
        <w:rFonts w:hint="default"/>
        <w:lang w:val="en-US" w:eastAsia="zh-TW" w:bidi="ar-SA"/>
      </w:rPr>
    </w:lvl>
    <w:lvl w:ilvl="8">
      <w:start w:val="0"/>
      <w:numFmt w:val="bullet"/>
      <w:lvlText w:val="•"/>
      <w:lvlJc w:val="left"/>
      <w:pPr>
        <w:ind w:left="7276" w:hanging="363"/>
      </w:pPr>
      <w:rPr>
        <w:rFonts w:hint="default"/>
        <w:lang w:val="en-US" w:eastAsia="zh-TW"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2"/>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spacing w:before="124"/>
      <w:ind w:left="460" w:right="155" w:hanging="360"/>
      <w:jc w:val="both"/>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2024-01-17T00:53:45Z</dcterms:created>
  <dcterms:modified xsi:type="dcterms:W3CDTF">2024-01-17T00:53:45Z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2023-11-05T00:00:00Z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