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49" w:right="0"/>
        <w:rPr>
          <w:rFonts w:ascii="Times New Roman"/>
          <w:sz w:val="20"/>
        </w:rPr>
      </w:pPr>
      <w:r>
        <w:rPr>
          <w:rFonts w:ascii="Times New Roman"/>
          <w:sz w:val="20"/>
        </w:rPr>
        <w:drawing>
          <wp:inline distT="0" distB="0" distL="0" distR="0">
            <wp:extent cx="2047377" cy="39204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47377" cy="392049"/>
                    </a:xfrm>
                    <a:prstGeom prst="rect">
                      <a:avLst/>
                    </a:prstGeom>
                  </pic:spPr>
                </pic:pic>
              </a:graphicData>
            </a:graphic>
          </wp:inline>
        </w:drawing>
      </w:r>
      <w:r>
        <w:rPr>
          <w:rFonts w:ascii="Times New Roman"/>
          <w:sz w:val="20"/>
        </w:rPr>
      </w:r>
    </w:p>
    <w:p>
      <w:pPr>
        <w:pStyle w:val="BodyText"/>
        <w:spacing w:before="10"/>
        <w:ind w:left="0" w:right="0"/>
        <w:rPr>
          <w:rFonts w:ascii="Times New Roman"/>
          <w:sz w:val="6"/>
        </w:rPr>
      </w:pPr>
    </w:p>
    <w:p>
      <w:pPr>
        <w:pStyle w:val="BodyText"/>
        <w:spacing w:before="57"/>
        <w:ind w:right="0"/>
      </w:pPr>
      <w:r>
        <w:rPr>
          <w:spacing w:val="-1"/>
        </w:rPr>
        <w:t>法規名稱：特殊教育法施行細則</w:t>
      </w:r>
    </w:p>
    <w:p>
      <w:pPr>
        <w:pStyle w:val="BodyText"/>
        <w:spacing w:before="12"/>
        <w:ind w:right="0"/>
      </w:pPr>
      <w:r>
        <w:rPr/>
        <w:t>修正日期：民國 112 年 12 月 20</w:t>
      </w:r>
      <w:r>
        <w:rPr>
          <w:spacing w:val="-5"/>
        </w:rPr>
        <w:t> 日</w:t>
      </w:r>
    </w:p>
    <w:p>
      <w:pPr>
        <w:pStyle w:val="BodyText"/>
        <w:ind w:left="0" w:right="0"/>
      </w:pPr>
    </w:p>
    <w:p>
      <w:pPr>
        <w:pStyle w:val="Heading1"/>
        <w:spacing w:before="165"/>
      </w:pPr>
      <w:r>
        <w:rPr>
          <w:spacing w:val="-2"/>
        </w:rPr>
        <w:t>第 </w:t>
      </w:r>
      <w:r>
        <w:rPr/>
        <w:t>1</w:t>
      </w:r>
      <w:r>
        <w:rPr>
          <w:spacing w:val="-7"/>
        </w:rPr>
        <w:t> 條</w:t>
      </w:r>
    </w:p>
    <w:p>
      <w:pPr>
        <w:pStyle w:val="BodyText"/>
        <w:spacing w:before="134"/>
        <w:ind w:right="0"/>
      </w:pPr>
      <w:r>
        <w:rPr/>
        <w:t>本細則依特殊教育法（以下簡稱本法）</w:t>
      </w:r>
      <w:r>
        <w:rPr>
          <w:spacing w:val="-1"/>
        </w:rPr>
        <w:t>第五十六條規定訂定之。</w:t>
      </w:r>
    </w:p>
    <w:p>
      <w:pPr>
        <w:pStyle w:val="Heading1"/>
        <w:spacing w:before="152"/>
      </w:pPr>
      <w:r>
        <w:rPr>
          <w:spacing w:val="-2"/>
        </w:rPr>
        <w:t>第 </w:t>
      </w:r>
      <w:r>
        <w:rPr/>
        <w:t>2</w:t>
      </w:r>
      <w:r>
        <w:rPr>
          <w:spacing w:val="-7"/>
        </w:rPr>
        <w:t> 條</w:t>
      </w:r>
    </w:p>
    <w:p>
      <w:pPr>
        <w:pStyle w:val="ListParagraph"/>
        <w:numPr>
          <w:ilvl w:val="0"/>
          <w:numId w:val="1"/>
        </w:numPr>
        <w:tabs>
          <w:tab w:pos="463" w:val="left" w:leader="none"/>
        </w:tabs>
        <w:spacing w:line="249" w:lineRule="auto" w:before="125" w:after="0"/>
        <w:ind w:left="460" w:right="115" w:hanging="360"/>
        <w:jc w:val="both"/>
        <w:rPr>
          <w:sz w:val="22"/>
        </w:rPr>
      </w:pPr>
      <w:r>
        <w:rPr>
          <w:spacing w:val="-2"/>
          <w:sz w:val="22"/>
        </w:rPr>
        <w:t>特殊教育學生及幼兒之輔導，應以維護兒童及少年最佳利益為原則，其決定涉及不同主</w:t>
      </w:r>
      <w:r>
        <w:rPr>
          <w:spacing w:val="-2"/>
          <w:sz w:val="22"/>
        </w:rPr>
        <w:t>體之權利衝突時，應優先考量特殊教育學生及幼兒之保障，並採取符合兒童及少年最佳</w:t>
      </w:r>
      <w:r>
        <w:rPr>
          <w:spacing w:val="-2"/>
          <w:sz w:val="22"/>
        </w:rPr>
        <w:t>利益之措施。</w:t>
      </w:r>
    </w:p>
    <w:p>
      <w:pPr>
        <w:pStyle w:val="ListParagraph"/>
        <w:numPr>
          <w:ilvl w:val="0"/>
          <w:numId w:val="1"/>
        </w:numPr>
        <w:tabs>
          <w:tab w:pos="463" w:val="left" w:leader="none"/>
        </w:tabs>
        <w:spacing w:line="249" w:lineRule="auto" w:before="0" w:after="0"/>
        <w:ind w:left="460" w:right="115" w:hanging="360"/>
        <w:jc w:val="both"/>
        <w:rPr>
          <w:sz w:val="22"/>
        </w:rPr>
      </w:pPr>
      <w:r>
        <w:rPr>
          <w:spacing w:val="-2"/>
          <w:sz w:val="22"/>
        </w:rPr>
        <w:t>前項輔導，應特別關注特殊教育學生與幼兒表達意見、身心健康、受教育及其他相關權</w:t>
      </w:r>
      <w:r>
        <w:rPr>
          <w:spacing w:val="-2"/>
          <w:sz w:val="22"/>
        </w:rPr>
        <w:t>利，並應關注兒童及少年之身分認同、家庭維繫、受照顧、保護與安全及其他相關需求</w:t>
      </w:r>
    </w:p>
    <w:p>
      <w:pPr>
        <w:spacing w:before="0"/>
        <w:ind w:left="460" w:right="0" w:firstLine="0"/>
        <w:jc w:val="left"/>
        <w:rPr>
          <w:sz w:val="22"/>
        </w:rPr>
      </w:pPr>
      <w:r>
        <w:rPr>
          <w:sz w:val="22"/>
        </w:rPr>
        <w:t>。</w:t>
      </w:r>
    </w:p>
    <w:p>
      <w:pPr>
        <w:pStyle w:val="Heading1"/>
        <w:spacing w:before="152"/>
      </w:pPr>
      <w:r>
        <w:rPr>
          <w:spacing w:val="-2"/>
        </w:rPr>
        <w:t>第 </w:t>
      </w:r>
      <w:r>
        <w:rPr/>
        <w:t>3</w:t>
      </w:r>
      <w:r>
        <w:rPr>
          <w:spacing w:val="-7"/>
        </w:rPr>
        <w:t> 條</w:t>
      </w:r>
    </w:p>
    <w:p>
      <w:pPr>
        <w:pStyle w:val="BodyText"/>
        <w:spacing w:line="256" w:lineRule="auto" w:before="135"/>
        <w:ind w:right="119"/>
      </w:pPr>
      <w:r>
        <w:rPr>
          <w:spacing w:val="-2"/>
        </w:rPr>
        <w:t>本法第七條第一項所稱專責單位，指各級主管機關所設具有專責人員及預算，負責辦理特殊教育業務之單位。</w:t>
      </w:r>
    </w:p>
    <w:p>
      <w:pPr>
        <w:pStyle w:val="Heading1"/>
        <w:spacing w:before="131"/>
      </w:pPr>
      <w:r>
        <w:rPr>
          <w:spacing w:val="-2"/>
        </w:rPr>
        <w:t>第 </w:t>
      </w:r>
      <w:r>
        <w:rPr/>
        <w:t>4</w:t>
      </w:r>
      <w:r>
        <w:rPr>
          <w:spacing w:val="-7"/>
        </w:rPr>
        <w:t> 條</w:t>
      </w:r>
    </w:p>
    <w:p>
      <w:pPr>
        <w:pStyle w:val="ListParagraph"/>
        <w:numPr>
          <w:ilvl w:val="0"/>
          <w:numId w:val="2"/>
        </w:numPr>
        <w:tabs>
          <w:tab w:pos="463" w:val="left" w:leader="none"/>
        </w:tabs>
        <w:spacing w:line="249" w:lineRule="auto" w:before="125" w:after="0"/>
        <w:ind w:left="460" w:right="115" w:hanging="360"/>
        <w:jc w:val="both"/>
        <w:rPr>
          <w:sz w:val="22"/>
        </w:rPr>
      </w:pPr>
      <w:r>
        <w:rPr>
          <w:spacing w:val="-2"/>
          <w:sz w:val="22"/>
        </w:rPr>
        <w:t>各級主管機關依本法第八條每年定期辦理特殊教育學生與幼兒狀況調查及教育安置需求</w:t>
      </w:r>
      <w:r>
        <w:rPr>
          <w:spacing w:val="-2"/>
          <w:sz w:val="22"/>
        </w:rPr>
        <w:t>人口通報後，應建立及運用各階段特殊教育通報系統，與衛政、社政、勞政主管機關所</w:t>
      </w:r>
      <w:r>
        <w:rPr>
          <w:spacing w:val="-2"/>
          <w:sz w:val="22"/>
        </w:rPr>
        <w:t>建立之通報系統互相協調妥善結合，並公布特殊教育概況。</w:t>
      </w:r>
    </w:p>
    <w:p>
      <w:pPr>
        <w:pStyle w:val="ListParagraph"/>
        <w:numPr>
          <w:ilvl w:val="0"/>
          <w:numId w:val="2"/>
        </w:numPr>
        <w:tabs>
          <w:tab w:pos="463" w:val="left" w:leader="none"/>
        </w:tabs>
        <w:spacing w:line="249" w:lineRule="auto" w:before="0" w:after="0"/>
        <w:ind w:left="460" w:right="115" w:hanging="360"/>
        <w:jc w:val="both"/>
        <w:rPr>
          <w:sz w:val="22"/>
        </w:rPr>
      </w:pPr>
      <w:r>
        <w:rPr>
          <w:spacing w:val="-2"/>
          <w:sz w:val="22"/>
        </w:rPr>
        <w:t>各級主管機關依本法第八條規定出版之統計年報，應包括特殊教育學生、幼兒與師資人</w:t>
      </w:r>
      <w:r>
        <w:rPr>
          <w:spacing w:val="-2"/>
          <w:sz w:val="22"/>
        </w:rPr>
        <w:t>數及比率、安置與經費狀況及其他特殊教育通報之項目；並應分析特殊教育相關數據</w:t>
      </w:r>
    </w:p>
    <w:p>
      <w:pPr>
        <w:pStyle w:val="BodyText"/>
        <w:spacing w:line="249" w:lineRule="auto"/>
        <w:ind w:right="119"/>
      </w:pPr>
      <w:r>
        <w:rPr>
          <w:spacing w:val="-2"/>
        </w:rPr>
        <w:t>，包括各類各教育階段融合教育實施、特教學生與幼兒鑑定、安置、輔導及支持服務、特殊教育資源分布、轉銜服務及經費使用，作為政策規劃及資源分配之參考。</w:t>
      </w:r>
    </w:p>
    <w:p>
      <w:pPr>
        <w:pStyle w:val="ListParagraph"/>
        <w:numPr>
          <w:ilvl w:val="0"/>
          <w:numId w:val="2"/>
        </w:numPr>
        <w:tabs>
          <w:tab w:pos="463" w:val="left" w:leader="none"/>
        </w:tabs>
        <w:spacing w:line="240" w:lineRule="auto" w:before="0" w:after="0"/>
        <w:ind w:left="462" w:right="0" w:hanging="363"/>
        <w:jc w:val="left"/>
        <w:rPr>
          <w:sz w:val="22"/>
        </w:rPr>
      </w:pPr>
      <w:r>
        <w:rPr>
          <w:sz w:val="22"/>
        </w:rPr>
        <w:t>第一項特殊教育通報系統之建置及運用，得委託或委辦學校或機關（構）</w:t>
      </w:r>
      <w:r>
        <w:rPr>
          <w:spacing w:val="-4"/>
          <w:sz w:val="22"/>
        </w:rPr>
        <w:t>辦理。</w:t>
      </w:r>
    </w:p>
    <w:p>
      <w:pPr>
        <w:pStyle w:val="Heading1"/>
        <w:spacing w:before="152"/>
      </w:pPr>
      <w:r>
        <w:rPr>
          <w:spacing w:val="-2"/>
        </w:rPr>
        <w:t>第 </w:t>
      </w:r>
      <w:r>
        <w:rPr/>
        <w:t>5</w:t>
      </w:r>
      <w:r>
        <w:rPr>
          <w:spacing w:val="-7"/>
        </w:rPr>
        <w:t> 條</w:t>
      </w:r>
    </w:p>
    <w:p>
      <w:pPr>
        <w:pStyle w:val="ListParagraph"/>
        <w:numPr>
          <w:ilvl w:val="0"/>
          <w:numId w:val="3"/>
        </w:numPr>
        <w:tabs>
          <w:tab w:pos="463" w:val="left" w:leader="none"/>
        </w:tabs>
        <w:spacing w:line="249" w:lineRule="auto" w:before="125" w:after="0"/>
        <w:ind w:left="460" w:right="115" w:hanging="360"/>
        <w:jc w:val="left"/>
        <w:rPr>
          <w:sz w:val="22"/>
        </w:rPr>
      </w:pPr>
      <w:r>
        <w:rPr>
          <w:spacing w:val="-2"/>
          <w:sz w:val="22"/>
        </w:rPr>
        <w:t>依本法第十三條第二項規定設立之特殊教育班，指專為身心障礙學生及幼兒或資賦優異</w:t>
      </w:r>
      <w:r>
        <w:rPr>
          <w:spacing w:val="-2"/>
          <w:sz w:val="22"/>
        </w:rPr>
        <w:t>學生設置之特殊教育班。</w:t>
      </w:r>
    </w:p>
    <w:p>
      <w:pPr>
        <w:pStyle w:val="ListParagraph"/>
        <w:numPr>
          <w:ilvl w:val="0"/>
          <w:numId w:val="3"/>
        </w:numPr>
        <w:tabs>
          <w:tab w:pos="463" w:val="left" w:leader="none"/>
        </w:tabs>
        <w:spacing w:line="249" w:lineRule="auto" w:before="0" w:after="0"/>
        <w:ind w:left="460" w:right="115" w:hanging="360"/>
        <w:jc w:val="left"/>
        <w:rPr>
          <w:sz w:val="22"/>
        </w:rPr>
      </w:pPr>
      <w:r>
        <w:rPr>
          <w:spacing w:val="-2"/>
          <w:sz w:val="22"/>
        </w:rPr>
        <w:t>依本法第二十八條第一項規定設立之特殊教育學校，包括幼兒部、國民小學部、國民中</w:t>
      </w:r>
      <w:r>
        <w:rPr>
          <w:spacing w:val="-2"/>
          <w:sz w:val="22"/>
        </w:rPr>
        <w:t>學部、高級中學部及高級職業學校部專為身心障礙學生設置之學校。</w:t>
      </w:r>
    </w:p>
    <w:p>
      <w:pPr>
        <w:pStyle w:val="Heading1"/>
      </w:pPr>
      <w:r>
        <w:rPr>
          <w:spacing w:val="-2"/>
        </w:rPr>
        <w:t>第 </w:t>
      </w:r>
      <w:r>
        <w:rPr/>
        <w:t>6</w:t>
      </w:r>
      <w:r>
        <w:rPr>
          <w:spacing w:val="-7"/>
        </w:rPr>
        <w:t> 條</w:t>
      </w:r>
    </w:p>
    <w:p>
      <w:pPr>
        <w:pStyle w:val="ListParagraph"/>
        <w:numPr>
          <w:ilvl w:val="0"/>
          <w:numId w:val="4"/>
        </w:numPr>
        <w:tabs>
          <w:tab w:pos="463" w:val="left" w:leader="none"/>
        </w:tabs>
        <w:spacing w:line="249" w:lineRule="auto" w:before="124" w:after="0"/>
        <w:ind w:left="460" w:right="115" w:hanging="360"/>
        <w:jc w:val="both"/>
        <w:rPr>
          <w:sz w:val="22"/>
        </w:rPr>
      </w:pPr>
      <w:r>
        <w:rPr>
          <w:spacing w:val="-2"/>
          <w:sz w:val="22"/>
        </w:rPr>
        <w:t>本法第十三條第二項第一款所定分散式資源班，指學生及幼兒在普通班就讀，部分時間</w:t>
      </w:r>
      <w:r>
        <w:rPr>
          <w:spacing w:val="-2"/>
          <w:sz w:val="22"/>
        </w:rPr>
        <w:t>接受特殊教育及相關服務。</w:t>
      </w:r>
    </w:p>
    <w:p>
      <w:pPr>
        <w:pStyle w:val="ListParagraph"/>
        <w:numPr>
          <w:ilvl w:val="0"/>
          <w:numId w:val="4"/>
        </w:numPr>
        <w:tabs>
          <w:tab w:pos="463" w:val="left" w:leader="none"/>
        </w:tabs>
        <w:spacing w:line="249" w:lineRule="auto" w:before="0" w:after="0"/>
        <w:ind w:left="460" w:right="115" w:hanging="360"/>
        <w:jc w:val="both"/>
        <w:rPr>
          <w:sz w:val="22"/>
        </w:rPr>
      </w:pPr>
      <w:r>
        <w:rPr>
          <w:spacing w:val="-2"/>
          <w:sz w:val="22"/>
        </w:rPr>
        <w:t>本法第十三條第二項第二款所定巡迴輔導班，指學生及幼兒在家庭、機構、學校或幼兒</w:t>
      </w:r>
      <w:r>
        <w:rPr>
          <w:spacing w:val="-2"/>
          <w:sz w:val="22"/>
        </w:rPr>
        <w:t>園，由巡迴輔導教師提供部分時間之特殊教育及相關服務。</w:t>
      </w:r>
    </w:p>
    <w:p>
      <w:pPr>
        <w:pStyle w:val="ListParagraph"/>
        <w:numPr>
          <w:ilvl w:val="0"/>
          <w:numId w:val="4"/>
        </w:numPr>
        <w:tabs>
          <w:tab w:pos="463" w:val="left" w:leader="none"/>
        </w:tabs>
        <w:spacing w:line="249" w:lineRule="auto" w:before="0" w:after="0"/>
        <w:ind w:left="460" w:right="115" w:hanging="360"/>
        <w:jc w:val="both"/>
        <w:rPr>
          <w:sz w:val="22"/>
        </w:rPr>
      </w:pPr>
      <w:r>
        <w:rPr>
          <w:spacing w:val="-2"/>
          <w:sz w:val="22"/>
        </w:rPr>
        <w:t>本法第十三條第二項第三款所定集中式特殊教育班，指學生及幼兒全部時間於特殊教育</w:t>
      </w:r>
      <w:r>
        <w:rPr>
          <w:spacing w:val="-2"/>
          <w:sz w:val="22"/>
        </w:rPr>
        <w:t>班接受特殊教育及相關服務；為促進融合教育，經課程設計，其部分課程得在普通班接</w:t>
      </w:r>
      <w:r>
        <w:rPr>
          <w:spacing w:val="-2"/>
          <w:sz w:val="22"/>
        </w:rPr>
        <w:t>受適性課程，或部分學科（領域）得實施跨年級、跨班教學。</w:t>
      </w:r>
    </w:p>
    <w:p>
      <w:pPr>
        <w:pStyle w:val="ListParagraph"/>
        <w:numPr>
          <w:ilvl w:val="0"/>
          <w:numId w:val="4"/>
        </w:numPr>
        <w:tabs>
          <w:tab w:pos="463" w:val="left" w:leader="none"/>
        </w:tabs>
        <w:spacing w:line="240" w:lineRule="auto" w:before="0" w:after="0"/>
        <w:ind w:left="462" w:right="0" w:hanging="363"/>
        <w:jc w:val="both"/>
        <w:rPr>
          <w:sz w:val="22"/>
        </w:rPr>
      </w:pPr>
      <w:r>
        <w:rPr>
          <w:spacing w:val="-1"/>
          <w:sz w:val="22"/>
        </w:rPr>
        <w:t>本法第十三條第四項所定特殊教育方案，必要時，得採跨校方式辦理。</w:t>
      </w:r>
    </w:p>
    <w:p>
      <w:pPr>
        <w:pStyle w:val="Heading1"/>
        <w:spacing w:before="153"/>
        <w:jc w:val="both"/>
      </w:pPr>
      <w:r>
        <w:rPr>
          <w:spacing w:val="-2"/>
        </w:rPr>
        <w:t>第 </w:t>
      </w:r>
      <w:r>
        <w:rPr/>
        <w:t>7</w:t>
      </w:r>
      <w:r>
        <w:rPr>
          <w:spacing w:val="-7"/>
        </w:rPr>
        <w:t> 條</w:t>
      </w:r>
    </w:p>
    <w:p>
      <w:pPr>
        <w:pStyle w:val="ListParagraph"/>
        <w:numPr>
          <w:ilvl w:val="0"/>
          <w:numId w:val="5"/>
        </w:numPr>
        <w:tabs>
          <w:tab w:pos="463" w:val="left" w:leader="none"/>
        </w:tabs>
        <w:spacing w:line="249" w:lineRule="auto" w:before="124" w:after="0"/>
        <w:ind w:left="460" w:right="115" w:hanging="360"/>
        <w:jc w:val="both"/>
        <w:rPr>
          <w:sz w:val="22"/>
        </w:rPr>
      </w:pPr>
      <w:r>
        <w:rPr>
          <w:spacing w:val="-2"/>
          <w:sz w:val="22"/>
        </w:rPr>
        <w:t>本法第十八條所定相關人員，指參與特殊教育、融合教育及相關服務措施之其他有關人</w:t>
      </w:r>
      <w:r>
        <w:rPr>
          <w:spacing w:val="-2"/>
          <w:sz w:val="22"/>
        </w:rPr>
        <w:t>員，包括特殊教育相關專業人員、教師助理員、特教學生助理人員及其他人員。</w:t>
      </w:r>
    </w:p>
    <w:p>
      <w:pPr>
        <w:spacing w:after="0" w:line="249" w:lineRule="auto"/>
        <w:jc w:val="both"/>
        <w:rPr>
          <w:sz w:val="22"/>
        </w:rPr>
        <w:sectPr>
          <w:type w:val="continuous"/>
          <w:pgSz w:w="11900" w:h="16840"/>
          <w:pgMar w:top="440" w:bottom="280" w:left="1540" w:right="1420"/>
        </w:sectPr>
      </w:pPr>
    </w:p>
    <w:p>
      <w:pPr>
        <w:pStyle w:val="ListParagraph"/>
        <w:numPr>
          <w:ilvl w:val="0"/>
          <w:numId w:val="5"/>
        </w:numPr>
        <w:tabs>
          <w:tab w:pos="463" w:val="left" w:leader="none"/>
        </w:tabs>
        <w:spacing w:line="249" w:lineRule="auto" w:before="40" w:after="0"/>
        <w:ind w:left="460" w:right="115" w:hanging="360"/>
        <w:jc w:val="left"/>
        <w:rPr>
          <w:sz w:val="22"/>
        </w:rPr>
      </w:pPr>
      <w:r>
        <w:rPr>
          <w:spacing w:val="-2"/>
          <w:sz w:val="22"/>
        </w:rPr>
        <w:t>本法第十八條第二項所定融合教育所需之知能，其內涵應考量學校與幼兒園全體學生及</w:t>
      </w:r>
      <w:r>
        <w:rPr>
          <w:spacing w:val="-2"/>
          <w:sz w:val="22"/>
        </w:rPr>
        <w:t>幼兒所需之生活適應、人際互動與學習參與之重要知能，包括下列內容：</w:t>
      </w:r>
    </w:p>
    <w:p>
      <w:pPr>
        <w:pStyle w:val="BodyText"/>
        <w:spacing w:line="256" w:lineRule="auto" w:before="10"/>
        <w:ind w:right="3419"/>
      </w:pPr>
      <w:r>
        <w:rPr>
          <w:spacing w:val="-2"/>
        </w:rPr>
        <w:t>一、人類多樣性、特殊教育學生及幼兒特質與輔導。二、身心障礙學生及幼兒人權與平等措施。</w:t>
      </w:r>
    </w:p>
    <w:p>
      <w:pPr>
        <w:pStyle w:val="BodyText"/>
        <w:spacing w:line="256" w:lineRule="auto" w:before="1"/>
        <w:ind w:right="4079"/>
      </w:pPr>
      <w:r>
        <w:rPr>
          <w:spacing w:val="-2"/>
        </w:rPr>
        <w:t>三、通用設計、合理調整與個別化支持服務。四、無障礙、可及性與社會參與。</w:t>
      </w:r>
    </w:p>
    <w:p>
      <w:pPr>
        <w:pStyle w:val="BodyText"/>
        <w:spacing w:before="2"/>
        <w:ind w:right="0"/>
      </w:pPr>
      <w:r>
        <w:rPr>
          <w:spacing w:val="-1"/>
        </w:rPr>
        <w:t>五、課程教學調整、轉銜輔導及終身學習之教育。</w:t>
      </w:r>
    </w:p>
    <w:p>
      <w:pPr>
        <w:pStyle w:val="ListParagraph"/>
        <w:numPr>
          <w:ilvl w:val="0"/>
          <w:numId w:val="5"/>
        </w:numPr>
        <w:tabs>
          <w:tab w:pos="463" w:val="left" w:leader="none"/>
        </w:tabs>
        <w:spacing w:line="249" w:lineRule="auto" w:before="12" w:after="0"/>
        <w:ind w:left="460" w:right="115" w:hanging="360"/>
        <w:jc w:val="left"/>
        <w:rPr>
          <w:sz w:val="22"/>
        </w:rPr>
      </w:pPr>
      <w:r>
        <w:rPr>
          <w:spacing w:val="-2"/>
          <w:sz w:val="22"/>
        </w:rPr>
        <w:t>各級主管機關應依前項重要知能，建置融合教育行動方案及示例，並彙整提供簡明、易</w:t>
      </w:r>
      <w:r>
        <w:rPr>
          <w:spacing w:val="-2"/>
          <w:sz w:val="22"/>
        </w:rPr>
        <w:t>讀之融合教育宣導課程及教材。</w:t>
      </w:r>
    </w:p>
    <w:p>
      <w:pPr>
        <w:pStyle w:val="Heading1"/>
      </w:pPr>
      <w:r>
        <w:rPr>
          <w:spacing w:val="-2"/>
        </w:rPr>
        <w:t>第 </w:t>
      </w:r>
      <w:r>
        <w:rPr/>
        <w:t>8</w:t>
      </w:r>
      <w:r>
        <w:rPr>
          <w:spacing w:val="-7"/>
        </w:rPr>
        <w:t> 條</w:t>
      </w:r>
    </w:p>
    <w:p>
      <w:pPr>
        <w:pStyle w:val="ListParagraph"/>
        <w:numPr>
          <w:ilvl w:val="0"/>
          <w:numId w:val="6"/>
        </w:numPr>
        <w:tabs>
          <w:tab w:pos="463" w:val="left" w:leader="none"/>
        </w:tabs>
        <w:spacing w:line="249" w:lineRule="auto" w:before="125" w:after="0"/>
        <w:ind w:left="460" w:right="115" w:hanging="360"/>
        <w:jc w:val="left"/>
        <w:rPr>
          <w:sz w:val="22"/>
        </w:rPr>
      </w:pPr>
      <w:r>
        <w:rPr>
          <w:spacing w:val="-2"/>
          <w:sz w:val="22"/>
        </w:rPr>
        <w:t>本法第二十條第三項所定成年學生、學生或幼兒之法定代理人或實際照顧者不同意進行</w:t>
      </w:r>
      <w:r>
        <w:rPr>
          <w:spacing w:val="-2"/>
          <w:sz w:val="22"/>
        </w:rPr>
        <w:t>鑑定安置程序時，幼兒園及高級中等以下學校應通報主管機關。</w:t>
      </w:r>
    </w:p>
    <w:p>
      <w:pPr>
        <w:pStyle w:val="ListParagraph"/>
        <w:numPr>
          <w:ilvl w:val="0"/>
          <w:numId w:val="6"/>
        </w:numPr>
        <w:tabs>
          <w:tab w:pos="463" w:val="left" w:leader="none"/>
        </w:tabs>
        <w:spacing w:line="249" w:lineRule="auto" w:before="0" w:after="0"/>
        <w:ind w:left="460" w:right="115" w:hanging="360"/>
        <w:jc w:val="left"/>
        <w:rPr>
          <w:sz w:val="22"/>
        </w:rPr>
      </w:pPr>
      <w:r>
        <w:rPr>
          <w:spacing w:val="-2"/>
          <w:sz w:val="22"/>
        </w:rPr>
        <w:t>高級中等以下學校辦理前項通報主管機關前，應先提報學校特殊教育推行委員會瞭解原</w:t>
      </w:r>
      <w:r>
        <w:rPr>
          <w:spacing w:val="-2"/>
          <w:sz w:val="22"/>
        </w:rPr>
        <w:t>因，經確認屬應鑑定而不鑑定者後，再依各該主管機關所定程序通報。</w:t>
      </w:r>
    </w:p>
    <w:p>
      <w:pPr>
        <w:pStyle w:val="Heading1"/>
        <w:jc w:val="both"/>
      </w:pPr>
      <w:r>
        <w:rPr>
          <w:spacing w:val="-2"/>
        </w:rPr>
        <w:t>第 </w:t>
      </w:r>
      <w:r>
        <w:rPr/>
        <w:t>9</w:t>
      </w:r>
      <w:r>
        <w:rPr>
          <w:spacing w:val="-7"/>
        </w:rPr>
        <w:t> 條</w:t>
      </w:r>
    </w:p>
    <w:p>
      <w:pPr>
        <w:pStyle w:val="BodyText"/>
        <w:spacing w:line="256" w:lineRule="auto" w:before="134"/>
        <w:ind w:right="119"/>
        <w:jc w:val="both"/>
      </w:pPr>
      <w:r>
        <w:rPr>
          <w:spacing w:val="-2"/>
        </w:rPr>
        <w:t>本法第二十九條所稱特殊教育學校校長應具備特殊教育之專業知能，指應修習本法第七條第三項所定特殊教育學分三學分以上，或參加各級主管機關辦理之特殊教育專業研習五十四小時以上。</w:t>
      </w:r>
    </w:p>
    <w:p>
      <w:pPr>
        <w:pStyle w:val="Heading1"/>
        <w:spacing w:before="133"/>
        <w:jc w:val="both"/>
      </w:pPr>
      <w:r>
        <w:rPr>
          <w:spacing w:val="-2"/>
        </w:rPr>
        <w:t>第 </w:t>
      </w:r>
      <w:r>
        <w:rPr/>
        <w:t>10</w:t>
      </w:r>
      <w:r>
        <w:rPr>
          <w:spacing w:val="-7"/>
        </w:rPr>
        <w:t> 條</w:t>
      </w:r>
    </w:p>
    <w:p>
      <w:pPr>
        <w:pStyle w:val="ListParagraph"/>
        <w:numPr>
          <w:ilvl w:val="0"/>
          <w:numId w:val="7"/>
        </w:numPr>
        <w:tabs>
          <w:tab w:pos="463" w:val="left" w:leader="none"/>
        </w:tabs>
        <w:spacing w:line="249" w:lineRule="auto" w:before="124" w:after="0"/>
        <w:ind w:left="460" w:right="115" w:hanging="360"/>
        <w:jc w:val="both"/>
        <w:rPr>
          <w:sz w:val="22"/>
        </w:rPr>
      </w:pPr>
      <w:r>
        <w:rPr>
          <w:spacing w:val="-2"/>
          <w:sz w:val="22"/>
        </w:rPr>
        <w:t>本法第三十一條所稱個別化教育計畫，指運用團隊合作方式，針對身心障礙學生個別特</w:t>
      </w:r>
      <w:r>
        <w:rPr>
          <w:spacing w:val="-2"/>
          <w:sz w:val="22"/>
        </w:rPr>
        <w:t>性所訂定之特殊教育及相關服務計畫；其內容包括下列事項：</w:t>
      </w:r>
    </w:p>
    <w:p>
      <w:pPr>
        <w:pStyle w:val="BodyText"/>
        <w:spacing w:before="10"/>
        <w:ind w:right="0"/>
      </w:pPr>
      <w:r>
        <w:rPr>
          <w:spacing w:val="-1"/>
        </w:rPr>
        <w:t>一、學生能力現況、家庭狀況及需求評估。</w:t>
      </w:r>
    </w:p>
    <w:p>
      <w:pPr>
        <w:pStyle w:val="BodyText"/>
        <w:spacing w:before="23"/>
        <w:ind w:right="0"/>
      </w:pPr>
      <w:r>
        <w:rPr>
          <w:spacing w:val="-1"/>
        </w:rPr>
        <w:t>二、學生所需特殊教育、相關服務及支持策略。</w:t>
      </w:r>
    </w:p>
    <w:p>
      <w:pPr>
        <w:pStyle w:val="BodyText"/>
        <w:spacing w:line="256" w:lineRule="auto" w:before="22"/>
        <w:ind w:right="1439"/>
      </w:pPr>
      <w:r>
        <w:rPr>
          <w:spacing w:val="-2"/>
        </w:rPr>
        <w:t>三、學年與學期教育目標、達成學期教育目標之評量方式、日期及標準。四、具情緒與行為問題學生所需之行為功能介入方案及行政支援。</w:t>
      </w:r>
    </w:p>
    <w:p>
      <w:pPr>
        <w:pStyle w:val="BodyText"/>
        <w:spacing w:before="2"/>
        <w:ind w:right="0"/>
      </w:pPr>
      <w:r>
        <w:rPr>
          <w:spacing w:val="-1"/>
        </w:rPr>
        <w:t>五、學生之轉銜輔導及服務內容。</w:t>
      </w:r>
    </w:p>
    <w:p>
      <w:pPr>
        <w:pStyle w:val="ListParagraph"/>
        <w:numPr>
          <w:ilvl w:val="0"/>
          <w:numId w:val="7"/>
        </w:numPr>
        <w:tabs>
          <w:tab w:pos="463" w:val="left" w:leader="none"/>
        </w:tabs>
        <w:spacing w:line="240" w:lineRule="auto" w:before="12" w:after="0"/>
        <w:ind w:left="462" w:right="0" w:hanging="363"/>
        <w:jc w:val="left"/>
        <w:rPr>
          <w:sz w:val="22"/>
        </w:rPr>
      </w:pPr>
      <w:r>
        <w:rPr>
          <w:spacing w:val="-1"/>
          <w:sz w:val="22"/>
        </w:rPr>
        <w:t>學校應將身心障礙且資賦優異學生之個別輔導計畫內容，併入個別化教育計畫規劃。</w:t>
      </w:r>
    </w:p>
    <w:p>
      <w:pPr>
        <w:pStyle w:val="ListParagraph"/>
        <w:numPr>
          <w:ilvl w:val="0"/>
          <w:numId w:val="7"/>
        </w:numPr>
        <w:tabs>
          <w:tab w:pos="463" w:val="left" w:leader="none"/>
        </w:tabs>
        <w:spacing w:line="240" w:lineRule="auto" w:before="12" w:after="0"/>
        <w:ind w:left="462" w:right="0" w:hanging="363"/>
        <w:jc w:val="left"/>
        <w:rPr>
          <w:sz w:val="22"/>
        </w:rPr>
      </w:pPr>
      <w:r>
        <w:rPr>
          <w:spacing w:val="-1"/>
          <w:sz w:val="22"/>
        </w:rPr>
        <w:t>幼兒園為身心障礙幼兒訂定個別化教育計畫時，應準用第一項規定。</w:t>
      </w:r>
    </w:p>
    <w:p>
      <w:pPr>
        <w:pStyle w:val="Heading1"/>
        <w:spacing w:before="153"/>
      </w:pPr>
      <w:r>
        <w:rPr>
          <w:spacing w:val="-2"/>
        </w:rPr>
        <w:t>第 </w:t>
      </w:r>
      <w:r>
        <w:rPr/>
        <w:t>11</w:t>
      </w:r>
      <w:r>
        <w:rPr>
          <w:spacing w:val="-7"/>
        </w:rPr>
        <w:t> 條</w:t>
      </w:r>
    </w:p>
    <w:p>
      <w:pPr>
        <w:pStyle w:val="ListParagraph"/>
        <w:numPr>
          <w:ilvl w:val="0"/>
          <w:numId w:val="8"/>
        </w:numPr>
        <w:tabs>
          <w:tab w:pos="463" w:val="left" w:leader="none"/>
        </w:tabs>
        <w:spacing w:line="254" w:lineRule="auto" w:before="124" w:after="0"/>
        <w:ind w:left="460" w:right="115" w:hanging="360"/>
        <w:jc w:val="left"/>
        <w:rPr>
          <w:sz w:val="22"/>
        </w:rPr>
      </w:pPr>
      <w:r>
        <w:rPr>
          <w:spacing w:val="-2"/>
          <w:sz w:val="22"/>
        </w:rPr>
        <w:t>本法第三十五條第一項所稱高等教育階段特殊教育方案，指學校應依特殊教育學生特性</w:t>
      </w:r>
      <w:r>
        <w:rPr>
          <w:spacing w:val="-2"/>
          <w:sz w:val="22"/>
        </w:rPr>
        <w:t>及學習需求，規劃辦理在校學習、生活輔導及支持服務等；其內容應載明下列事項：</w:t>
      </w:r>
      <w:r>
        <w:rPr>
          <w:spacing w:val="40"/>
          <w:sz w:val="22"/>
        </w:rPr>
        <w:t> </w:t>
      </w:r>
      <w:r>
        <w:rPr>
          <w:spacing w:val="-2"/>
          <w:sz w:val="22"/>
        </w:rPr>
        <w:t>一、依據。</w:t>
      </w:r>
    </w:p>
    <w:p>
      <w:pPr>
        <w:pStyle w:val="BodyText"/>
        <w:spacing w:before="2"/>
        <w:ind w:right="0"/>
      </w:pPr>
      <w:r>
        <w:rPr>
          <w:spacing w:val="-2"/>
        </w:rPr>
        <w:t>二、目的。</w:t>
      </w:r>
    </w:p>
    <w:p>
      <w:pPr>
        <w:pStyle w:val="BodyText"/>
        <w:spacing w:line="256" w:lineRule="auto" w:before="22"/>
        <w:ind w:right="4519"/>
      </w:pPr>
      <w:r>
        <w:rPr>
          <w:spacing w:val="-2"/>
        </w:rPr>
        <w:t>三、實施對象及其特殊教育與支持服務。四、人力支援及行政支持。</w:t>
      </w:r>
    </w:p>
    <w:p>
      <w:pPr>
        <w:pStyle w:val="BodyText"/>
        <w:spacing w:line="256" w:lineRule="auto" w:before="2"/>
        <w:ind w:right="6279"/>
      </w:pPr>
      <w:r>
        <w:rPr>
          <w:spacing w:val="-2"/>
        </w:rPr>
        <w:t>五、空間及環境規劃。六、辦理期程。</w:t>
      </w:r>
    </w:p>
    <w:p>
      <w:pPr>
        <w:pStyle w:val="BodyText"/>
        <w:spacing w:line="256" w:lineRule="auto" w:before="1"/>
        <w:ind w:right="6279"/>
      </w:pPr>
      <w:r>
        <w:rPr>
          <w:spacing w:val="-2"/>
        </w:rPr>
        <w:t>七、經費概算及來源。八、預期成效。</w:t>
      </w:r>
    </w:p>
    <w:p>
      <w:pPr>
        <w:pStyle w:val="ListParagraph"/>
        <w:numPr>
          <w:ilvl w:val="0"/>
          <w:numId w:val="8"/>
        </w:numPr>
        <w:tabs>
          <w:tab w:pos="463" w:val="left" w:leader="none"/>
        </w:tabs>
        <w:spacing w:line="249" w:lineRule="auto" w:before="0" w:after="0"/>
        <w:ind w:left="460" w:right="115" w:hanging="360"/>
        <w:jc w:val="left"/>
        <w:rPr>
          <w:sz w:val="22"/>
        </w:rPr>
      </w:pPr>
      <w:r>
        <w:rPr>
          <w:spacing w:val="-2"/>
          <w:sz w:val="22"/>
        </w:rPr>
        <w:t>前項第三款特殊教育與支持服務，包括學生教育需求及在校學習生活適應之生活輔導、</w:t>
      </w:r>
      <w:r>
        <w:rPr>
          <w:spacing w:val="-2"/>
          <w:sz w:val="22"/>
        </w:rPr>
        <w:t>課業輔導、生涯輔導及諮詢服務等。</w:t>
      </w:r>
    </w:p>
    <w:p>
      <w:pPr>
        <w:pStyle w:val="Heading1"/>
        <w:spacing w:before="132"/>
      </w:pPr>
      <w:r>
        <w:rPr>
          <w:spacing w:val="-2"/>
        </w:rPr>
        <w:t>第 </w:t>
      </w:r>
      <w:r>
        <w:rPr/>
        <w:t>12</w:t>
      </w:r>
      <w:r>
        <w:rPr>
          <w:spacing w:val="-7"/>
        </w:rPr>
        <w:t> 條</w:t>
      </w:r>
    </w:p>
    <w:p>
      <w:pPr>
        <w:pStyle w:val="BodyText"/>
        <w:spacing w:line="256" w:lineRule="auto" w:before="134"/>
        <w:ind w:right="119"/>
      </w:pPr>
      <w:r>
        <w:rPr>
          <w:spacing w:val="-2"/>
        </w:rPr>
        <w:t>前條特殊教育方案，學校應運用團隊合作方式，整合相關資源，針對身心障礙學生個別特性及需求，訂定個別化支持計畫；其內容包括下列事項：</w:t>
      </w:r>
    </w:p>
    <w:p>
      <w:pPr>
        <w:pStyle w:val="BodyText"/>
        <w:spacing w:before="2"/>
        <w:ind w:right="0"/>
      </w:pPr>
      <w:r>
        <w:rPr>
          <w:spacing w:val="-1"/>
        </w:rPr>
        <w:t>一、學生能力現況、家庭狀況及需求評估。</w:t>
      </w:r>
    </w:p>
    <w:p>
      <w:pPr>
        <w:spacing w:after="0"/>
        <w:sectPr>
          <w:pgSz w:w="11900" w:h="16840"/>
          <w:pgMar w:top="460" w:bottom="0" w:left="1540" w:right="1420"/>
        </w:sectPr>
      </w:pPr>
    </w:p>
    <w:p>
      <w:pPr>
        <w:pStyle w:val="BodyText"/>
        <w:spacing w:line="256" w:lineRule="auto" w:before="30"/>
        <w:ind w:right="4299"/>
      </w:pPr>
      <w:r>
        <w:rPr>
          <w:spacing w:val="-2"/>
        </w:rPr>
        <w:t>二、學生所需特殊教育、支持服務及策略。三、學生之轉銜輔導及服務內容。</w:t>
      </w:r>
    </w:p>
    <w:p>
      <w:pPr>
        <w:pStyle w:val="Heading1"/>
        <w:spacing w:before="131"/>
      </w:pPr>
      <w:r>
        <w:rPr>
          <w:spacing w:val="-2"/>
        </w:rPr>
        <w:t>第 </w:t>
      </w:r>
      <w:r>
        <w:rPr/>
        <w:t>13</w:t>
      </w:r>
      <w:r>
        <w:rPr>
          <w:spacing w:val="-7"/>
        </w:rPr>
        <w:t> 條</w:t>
      </w:r>
    </w:p>
    <w:p>
      <w:pPr>
        <w:pStyle w:val="ListParagraph"/>
        <w:numPr>
          <w:ilvl w:val="0"/>
          <w:numId w:val="9"/>
        </w:numPr>
        <w:tabs>
          <w:tab w:pos="463" w:val="left" w:leader="none"/>
        </w:tabs>
        <w:spacing w:line="249" w:lineRule="auto" w:before="125" w:after="0"/>
        <w:ind w:left="460" w:right="115" w:hanging="360"/>
        <w:jc w:val="both"/>
        <w:rPr>
          <w:sz w:val="22"/>
        </w:rPr>
      </w:pPr>
      <w:r>
        <w:rPr>
          <w:spacing w:val="-2"/>
          <w:sz w:val="22"/>
        </w:rPr>
        <w:t>本法第四十二條所定資賦優異學生個別輔導計畫，學校應以團隊合作方式訂定，訂定之</w:t>
      </w:r>
      <w:r>
        <w:rPr>
          <w:spacing w:val="-2"/>
          <w:sz w:val="22"/>
        </w:rPr>
        <w:t>人員應包括學校行政人員、特殊教育與相關教師、學生本人及學生之法定代理人或實際</w:t>
      </w:r>
      <w:r>
        <w:rPr>
          <w:spacing w:val="-2"/>
          <w:sz w:val="22"/>
        </w:rPr>
        <w:t>照顧者參與；必要時，得邀請相關專業人員參與。</w:t>
      </w:r>
    </w:p>
    <w:p>
      <w:pPr>
        <w:pStyle w:val="ListParagraph"/>
        <w:numPr>
          <w:ilvl w:val="0"/>
          <w:numId w:val="9"/>
        </w:numPr>
        <w:tabs>
          <w:tab w:pos="463" w:val="left" w:leader="none"/>
        </w:tabs>
        <w:spacing w:line="240" w:lineRule="auto" w:before="0" w:after="0"/>
        <w:ind w:left="462" w:right="0" w:hanging="363"/>
        <w:jc w:val="both"/>
        <w:rPr>
          <w:sz w:val="22"/>
        </w:rPr>
      </w:pPr>
      <w:r>
        <w:rPr>
          <w:spacing w:val="-1"/>
          <w:sz w:val="22"/>
        </w:rPr>
        <w:t>個別輔導計畫內容應包括下列事項：</w:t>
      </w:r>
    </w:p>
    <w:p>
      <w:pPr>
        <w:pStyle w:val="BodyText"/>
        <w:spacing w:line="256" w:lineRule="auto" w:before="22"/>
        <w:ind w:right="3859"/>
        <w:jc w:val="both"/>
      </w:pPr>
      <w:r>
        <w:rPr>
          <w:spacing w:val="-2"/>
        </w:rPr>
        <w:t>一、學生能力現況、家庭狀況及教育需求評估。二、學生所需特殊教育、相關服務與支持策略。三、教育目標與輔導重點。</w:t>
      </w:r>
    </w:p>
    <w:p>
      <w:pPr>
        <w:pStyle w:val="ListParagraph"/>
        <w:numPr>
          <w:ilvl w:val="0"/>
          <w:numId w:val="9"/>
        </w:numPr>
        <w:tabs>
          <w:tab w:pos="463" w:val="left" w:leader="none"/>
        </w:tabs>
        <w:spacing w:line="249" w:lineRule="auto" w:before="0" w:after="0"/>
        <w:ind w:left="460" w:right="115" w:hanging="360"/>
        <w:jc w:val="both"/>
        <w:rPr>
          <w:sz w:val="22"/>
        </w:rPr>
      </w:pPr>
      <w:r>
        <w:rPr>
          <w:spacing w:val="-2"/>
          <w:sz w:val="22"/>
        </w:rPr>
        <w:t>資賦優異學生個別輔導計畫，應於開學前訂定，新生及轉學生應於入學後一個月內訂定</w:t>
      </w:r>
      <w:r>
        <w:rPr>
          <w:spacing w:val="-2"/>
          <w:sz w:val="22"/>
        </w:rPr>
        <w:t>初步個別輔導計畫，且每學期應至少檢討一次。</w:t>
      </w:r>
    </w:p>
    <w:p>
      <w:pPr>
        <w:pStyle w:val="Heading1"/>
        <w:spacing w:before="133"/>
        <w:jc w:val="both"/>
      </w:pPr>
      <w:r>
        <w:rPr>
          <w:spacing w:val="-2"/>
        </w:rPr>
        <w:t>第 </w:t>
      </w:r>
      <w:r>
        <w:rPr/>
        <w:t>14</w:t>
      </w:r>
      <w:r>
        <w:rPr>
          <w:spacing w:val="-7"/>
        </w:rPr>
        <w:t> 條</w:t>
      </w:r>
    </w:p>
    <w:p>
      <w:pPr>
        <w:pStyle w:val="BodyText"/>
        <w:spacing w:line="256" w:lineRule="auto" w:before="134"/>
        <w:ind w:right="119"/>
        <w:jc w:val="both"/>
      </w:pPr>
      <w:r>
        <w:rPr>
          <w:spacing w:val="-2"/>
        </w:rPr>
        <w:t>本法第四十九條所稱特殊教育相關課程，其內容應包括特殊教育學生及幼兒身心特質與輔導、融合教育、通用設計學習、教導不同學習需求之學生與幼兒之能力及合理調整等</w:t>
      </w:r>
      <w:r>
        <w:rPr>
          <w:spacing w:val="-4"/>
        </w:rPr>
        <w:t>知能。</w:t>
      </w:r>
    </w:p>
    <w:p>
      <w:pPr>
        <w:pStyle w:val="Heading1"/>
        <w:spacing w:before="132"/>
        <w:jc w:val="both"/>
      </w:pPr>
      <w:r>
        <w:rPr>
          <w:spacing w:val="-2"/>
        </w:rPr>
        <w:t>第 </w:t>
      </w:r>
      <w:r>
        <w:rPr/>
        <w:t>15</w:t>
      </w:r>
      <w:r>
        <w:rPr>
          <w:spacing w:val="-7"/>
        </w:rPr>
        <w:t> 條</w:t>
      </w:r>
    </w:p>
    <w:p>
      <w:pPr>
        <w:pStyle w:val="ListParagraph"/>
        <w:numPr>
          <w:ilvl w:val="0"/>
          <w:numId w:val="10"/>
        </w:numPr>
        <w:tabs>
          <w:tab w:pos="463" w:val="left" w:leader="none"/>
        </w:tabs>
        <w:spacing w:line="249" w:lineRule="auto" w:before="125" w:after="0"/>
        <w:ind w:left="460" w:right="115" w:hanging="360"/>
        <w:jc w:val="both"/>
        <w:rPr>
          <w:sz w:val="22"/>
        </w:rPr>
      </w:pPr>
      <w:r>
        <w:rPr>
          <w:spacing w:val="-2"/>
          <w:sz w:val="22"/>
        </w:rPr>
        <w:t>本法第五十條第二項所定設有特殊教育學系之大學校院得附設特殊教育學校（班），</w:t>
      </w:r>
      <w:r>
        <w:rPr>
          <w:spacing w:val="-2"/>
          <w:sz w:val="22"/>
        </w:rPr>
        <w:t>包</w:t>
      </w:r>
      <w:r>
        <w:rPr>
          <w:spacing w:val="-2"/>
          <w:sz w:val="22"/>
        </w:rPr>
        <w:t>括附設或附屬二種情形，其設立應經專案評估後，報主管機關核定。</w:t>
      </w:r>
    </w:p>
    <w:p>
      <w:pPr>
        <w:pStyle w:val="ListParagraph"/>
        <w:numPr>
          <w:ilvl w:val="0"/>
          <w:numId w:val="10"/>
        </w:numPr>
        <w:tabs>
          <w:tab w:pos="463" w:val="left" w:leader="none"/>
        </w:tabs>
        <w:spacing w:line="249" w:lineRule="auto" w:before="0" w:after="0"/>
        <w:ind w:left="460" w:right="115" w:hanging="360"/>
        <w:jc w:val="both"/>
        <w:rPr>
          <w:sz w:val="22"/>
        </w:rPr>
      </w:pPr>
      <w:r>
        <w:rPr>
          <w:spacing w:val="-2"/>
          <w:sz w:val="22"/>
        </w:rPr>
        <w:t>前項附設或附屬特殊教育學校（班），其設立規模及人員編制，準用特殊教育學校設立</w:t>
      </w:r>
      <w:r>
        <w:rPr>
          <w:spacing w:val="-2"/>
          <w:sz w:val="22"/>
        </w:rPr>
        <w:t>變更停辦合併及人員編制標準之規定。</w:t>
      </w:r>
    </w:p>
    <w:p>
      <w:pPr>
        <w:pStyle w:val="Heading1"/>
        <w:jc w:val="both"/>
      </w:pPr>
      <w:r>
        <w:rPr>
          <w:spacing w:val="-2"/>
        </w:rPr>
        <w:t>第 </w:t>
      </w:r>
      <w:r>
        <w:rPr/>
        <w:t>16</w:t>
      </w:r>
      <w:r>
        <w:rPr>
          <w:spacing w:val="-7"/>
        </w:rPr>
        <w:t> 條</w:t>
      </w:r>
    </w:p>
    <w:p>
      <w:pPr>
        <w:pStyle w:val="BodyText"/>
        <w:spacing w:line="256" w:lineRule="auto" w:before="134"/>
        <w:ind w:right="119"/>
        <w:jc w:val="both"/>
      </w:pPr>
      <w:r>
        <w:rPr>
          <w:spacing w:val="-2"/>
        </w:rPr>
        <w:t>本法第五十三條第四項所定大專校院特殊教育評鑑，指中央主管機關應自行組成評鑑委員會或委託學術團體、專業評鑑機構每四年為之；其辦理原則及程序準用大學評鑑辦法</w:t>
      </w:r>
      <w:r>
        <w:rPr>
          <w:spacing w:val="-4"/>
        </w:rPr>
        <w:t>之規定。</w:t>
      </w:r>
    </w:p>
    <w:p>
      <w:pPr>
        <w:pStyle w:val="Heading1"/>
        <w:spacing w:before="133"/>
        <w:jc w:val="both"/>
      </w:pPr>
      <w:r>
        <w:rPr>
          <w:spacing w:val="-2"/>
        </w:rPr>
        <w:t>第 </w:t>
      </w:r>
      <w:r>
        <w:rPr/>
        <w:t>17</w:t>
      </w:r>
      <w:r>
        <w:rPr>
          <w:spacing w:val="-7"/>
        </w:rPr>
        <w:t> 條</w:t>
      </w:r>
    </w:p>
    <w:p>
      <w:pPr>
        <w:pStyle w:val="ListParagraph"/>
        <w:numPr>
          <w:ilvl w:val="0"/>
          <w:numId w:val="11"/>
        </w:numPr>
        <w:tabs>
          <w:tab w:pos="463" w:val="left" w:leader="none"/>
        </w:tabs>
        <w:spacing w:line="240" w:lineRule="auto" w:before="124" w:after="0"/>
        <w:ind w:left="462" w:right="0" w:hanging="363"/>
        <w:jc w:val="both"/>
        <w:rPr>
          <w:sz w:val="22"/>
        </w:rPr>
      </w:pPr>
      <w:r>
        <w:rPr>
          <w:spacing w:val="-1"/>
          <w:sz w:val="22"/>
        </w:rPr>
        <w:t>學校依本法第三十一條、第三十五條、第三十六條及第四十二條訂定之個別化教育計畫</w:t>
      </w:r>
    </w:p>
    <w:p>
      <w:pPr>
        <w:pStyle w:val="BodyText"/>
        <w:spacing w:before="12"/>
        <w:ind w:right="0"/>
      </w:pPr>
      <w:r>
        <w:rPr>
          <w:spacing w:val="-1"/>
        </w:rPr>
        <w:t>、個別化支持計畫、生涯轉銜計畫或資賦優異學生個別輔導計畫等特殊教育學生資料</w:t>
      </w:r>
    </w:p>
    <w:p>
      <w:pPr>
        <w:pStyle w:val="BodyText"/>
        <w:spacing w:line="249" w:lineRule="auto" w:before="13"/>
        <w:ind w:right="119"/>
      </w:pPr>
      <w:r>
        <w:rPr>
          <w:spacing w:val="-2"/>
        </w:rPr>
        <w:t>，應指定適當場所及人員保管，以書面或電子儲存媒體保存之，並應自學生畢業或離校後，保存十年。</w:t>
      </w:r>
    </w:p>
    <w:p>
      <w:pPr>
        <w:pStyle w:val="ListParagraph"/>
        <w:numPr>
          <w:ilvl w:val="0"/>
          <w:numId w:val="11"/>
        </w:numPr>
        <w:tabs>
          <w:tab w:pos="463" w:val="left" w:leader="none"/>
        </w:tabs>
        <w:spacing w:line="240" w:lineRule="auto" w:before="0" w:after="0"/>
        <w:ind w:left="462" w:right="0" w:hanging="363"/>
        <w:jc w:val="left"/>
        <w:rPr>
          <w:sz w:val="22"/>
        </w:rPr>
      </w:pPr>
      <w:r>
        <w:rPr>
          <w:spacing w:val="-1"/>
          <w:sz w:val="22"/>
        </w:rPr>
        <w:t>幼兒園依本法第三十一條及第三十六條訂定相關計畫時，依前項規定辦理。</w:t>
      </w:r>
    </w:p>
    <w:p>
      <w:pPr>
        <w:pStyle w:val="ListParagraph"/>
        <w:numPr>
          <w:ilvl w:val="0"/>
          <w:numId w:val="11"/>
        </w:numPr>
        <w:tabs>
          <w:tab w:pos="463" w:val="left" w:leader="none"/>
        </w:tabs>
        <w:spacing w:line="249" w:lineRule="auto" w:before="12" w:after="0"/>
        <w:ind w:left="460" w:right="115" w:hanging="360"/>
        <w:jc w:val="left"/>
        <w:rPr>
          <w:sz w:val="22"/>
        </w:rPr>
      </w:pPr>
      <w:r>
        <w:rPr>
          <w:spacing w:val="-2"/>
          <w:sz w:val="22"/>
        </w:rPr>
        <w:t>前二項特殊教育學生及幼兒資料，學校及幼兒園因故未能繼續保管，其資料應交由承接</w:t>
      </w:r>
      <w:r>
        <w:rPr>
          <w:spacing w:val="-2"/>
          <w:sz w:val="22"/>
        </w:rPr>
        <w:t>者依規定保存。</w:t>
      </w:r>
    </w:p>
    <w:p>
      <w:pPr>
        <w:pStyle w:val="ListParagraph"/>
        <w:numPr>
          <w:ilvl w:val="0"/>
          <w:numId w:val="11"/>
        </w:numPr>
        <w:tabs>
          <w:tab w:pos="463" w:val="left" w:leader="none"/>
        </w:tabs>
        <w:spacing w:line="249" w:lineRule="auto" w:before="0" w:after="0"/>
        <w:ind w:left="460" w:right="115" w:hanging="360"/>
        <w:jc w:val="left"/>
        <w:rPr>
          <w:sz w:val="22"/>
        </w:rPr>
      </w:pPr>
      <w:r>
        <w:rPr>
          <w:spacing w:val="-2"/>
          <w:sz w:val="22"/>
        </w:rPr>
        <w:t>已逾保存年限之特殊教育學生及幼兒資料，學校及幼兒園應定期銷毀，其銷毀方式應確</w:t>
      </w:r>
      <w:r>
        <w:rPr>
          <w:spacing w:val="-2"/>
          <w:sz w:val="22"/>
        </w:rPr>
        <w:t>保特殊教育學生及幼兒資料內容無洩漏之虞，並以每年一次為原則。</w:t>
      </w:r>
    </w:p>
    <w:p>
      <w:pPr>
        <w:pStyle w:val="Heading1"/>
      </w:pPr>
      <w:r>
        <w:rPr>
          <w:spacing w:val="-2"/>
        </w:rPr>
        <w:t>第 </w:t>
      </w:r>
      <w:r>
        <w:rPr/>
        <w:t>18</w:t>
      </w:r>
      <w:r>
        <w:rPr>
          <w:spacing w:val="-7"/>
        </w:rPr>
        <w:t> 條</w:t>
      </w:r>
    </w:p>
    <w:p>
      <w:pPr>
        <w:pStyle w:val="BodyText"/>
        <w:spacing w:line="256" w:lineRule="auto" w:before="135"/>
        <w:ind w:right="119"/>
      </w:pPr>
      <w:r>
        <w:rPr>
          <w:spacing w:val="-2"/>
        </w:rPr>
        <w:t>社區、部落及職場互助教保服務中心特殊教育之實施，準用第二條、第四條、第七條、第八條、第十條及第十七條所定幼兒園相關規定。</w:t>
      </w:r>
    </w:p>
    <w:p>
      <w:pPr>
        <w:pStyle w:val="Heading1"/>
        <w:spacing w:before="131"/>
      </w:pPr>
      <w:r>
        <w:rPr>
          <w:spacing w:val="-2"/>
        </w:rPr>
        <w:t>第 </w:t>
      </w:r>
      <w:r>
        <w:rPr/>
        <w:t>19</w:t>
      </w:r>
      <w:r>
        <w:rPr>
          <w:spacing w:val="-7"/>
        </w:rPr>
        <w:t> 條</w:t>
      </w:r>
    </w:p>
    <w:p>
      <w:pPr>
        <w:pStyle w:val="BodyText"/>
        <w:spacing w:before="135"/>
        <w:ind w:right="0"/>
      </w:pPr>
      <w:r>
        <w:rPr>
          <w:spacing w:val="-1"/>
        </w:rPr>
        <w:t>本細則自發布日施行。</w:t>
      </w:r>
    </w:p>
    <w:sectPr>
      <w:pgSz w:w="11900" w:h="16840"/>
      <w:pgMar w:top="480" w:bottom="280" w:left="15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細明體">
    <w:altName w:val="細明體"/>
    <w:charset w:val="88"/>
    <w:family w:val="modern"/>
    <w:pitch w:val="fixed"/>
  </w:font>
  <w:font w:name="Consolas">
    <w:altName w:val="Consolas"/>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decimal"/>
      <w:lvlText w:val="%1"/>
      <w:lvlJc w:val="left"/>
      <w:pPr>
        <w:ind w:left="462"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9">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8">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7">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6">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5">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4">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3">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2">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1">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abstractNum w:abstractNumId="0">
    <w:multiLevelType w:val="hybridMultilevel"/>
    <w:lvl w:ilvl="0">
      <w:start w:val="1"/>
      <w:numFmt w:val="decimal"/>
      <w:lvlText w:val="%1"/>
      <w:lvlJc w:val="left"/>
      <w:pPr>
        <w:ind w:left="460" w:hanging="363"/>
        <w:jc w:val="left"/>
      </w:pPr>
      <w:rPr>
        <w:rFonts w:hint="default" w:ascii="Consolas" w:hAnsi="Consolas" w:eastAsia="Consolas" w:cs="Consolas"/>
        <w:b w:val="0"/>
        <w:bCs w:val="0"/>
        <w:i/>
        <w:iCs/>
        <w:color w:val="7F7F7F"/>
        <w:w w:val="100"/>
        <w:sz w:val="22"/>
        <w:szCs w:val="22"/>
        <w:lang w:val="en-US" w:eastAsia="zh-TW" w:bidi="ar-SA"/>
      </w:rPr>
    </w:lvl>
    <w:lvl w:ilvl="1">
      <w:start w:val="0"/>
      <w:numFmt w:val="bullet"/>
      <w:lvlText w:val="•"/>
      <w:lvlJc w:val="left"/>
      <w:pPr>
        <w:ind w:left="1308" w:hanging="363"/>
      </w:pPr>
      <w:rPr>
        <w:rFonts w:hint="default"/>
        <w:lang w:val="en-US" w:eastAsia="zh-TW" w:bidi="ar-SA"/>
      </w:rPr>
    </w:lvl>
    <w:lvl w:ilvl="2">
      <w:start w:val="0"/>
      <w:numFmt w:val="bullet"/>
      <w:lvlText w:val="•"/>
      <w:lvlJc w:val="left"/>
      <w:pPr>
        <w:ind w:left="2156" w:hanging="363"/>
      </w:pPr>
      <w:rPr>
        <w:rFonts w:hint="default"/>
        <w:lang w:val="en-US" w:eastAsia="zh-TW" w:bidi="ar-SA"/>
      </w:rPr>
    </w:lvl>
    <w:lvl w:ilvl="3">
      <w:start w:val="0"/>
      <w:numFmt w:val="bullet"/>
      <w:lvlText w:val="•"/>
      <w:lvlJc w:val="left"/>
      <w:pPr>
        <w:ind w:left="3004" w:hanging="363"/>
      </w:pPr>
      <w:rPr>
        <w:rFonts w:hint="default"/>
        <w:lang w:val="en-US" w:eastAsia="zh-TW" w:bidi="ar-SA"/>
      </w:rPr>
    </w:lvl>
    <w:lvl w:ilvl="4">
      <w:start w:val="0"/>
      <w:numFmt w:val="bullet"/>
      <w:lvlText w:val="•"/>
      <w:lvlJc w:val="left"/>
      <w:pPr>
        <w:ind w:left="3852" w:hanging="363"/>
      </w:pPr>
      <w:rPr>
        <w:rFonts w:hint="default"/>
        <w:lang w:val="en-US" w:eastAsia="zh-TW" w:bidi="ar-SA"/>
      </w:rPr>
    </w:lvl>
    <w:lvl w:ilvl="5">
      <w:start w:val="0"/>
      <w:numFmt w:val="bullet"/>
      <w:lvlText w:val="•"/>
      <w:lvlJc w:val="left"/>
      <w:pPr>
        <w:ind w:left="4700" w:hanging="363"/>
      </w:pPr>
      <w:rPr>
        <w:rFonts w:hint="default"/>
        <w:lang w:val="en-US" w:eastAsia="zh-TW" w:bidi="ar-SA"/>
      </w:rPr>
    </w:lvl>
    <w:lvl w:ilvl="6">
      <w:start w:val="0"/>
      <w:numFmt w:val="bullet"/>
      <w:lvlText w:val="•"/>
      <w:lvlJc w:val="left"/>
      <w:pPr>
        <w:ind w:left="5548" w:hanging="363"/>
      </w:pPr>
      <w:rPr>
        <w:rFonts w:hint="default"/>
        <w:lang w:val="en-US" w:eastAsia="zh-TW" w:bidi="ar-SA"/>
      </w:rPr>
    </w:lvl>
    <w:lvl w:ilvl="7">
      <w:start w:val="0"/>
      <w:numFmt w:val="bullet"/>
      <w:lvlText w:val="•"/>
      <w:lvlJc w:val="left"/>
      <w:pPr>
        <w:ind w:left="6396" w:hanging="363"/>
      </w:pPr>
      <w:rPr>
        <w:rFonts w:hint="default"/>
        <w:lang w:val="en-US" w:eastAsia="zh-TW" w:bidi="ar-SA"/>
      </w:rPr>
    </w:lvl>
    <w:lvl w:ilvl="8">
      <w:start w:val="0"/>
      <w:numFmt w:val="bullet"/>
      <w:lvlText w:val="•"/>
      <w:lvlJc w:val="left"/>
      <w:pPr>
        <w:ind w:left="7244" w:hanging="363"/>
      </w:pPr>
      <w:rPr>
        <w:rFonts w:hint="default"/>
        <w:lang w:val="en-US" w:eastAsia="zh-TW" w:bidi="ar-SA"/>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細明體" w:hAnsi="細明體" w:eastAsia="細明體" w:cs="細明體"/>
      <w:lang w:val="en-US" w:eastAsia="zh-TW" w:bidi="ar-SA"/>
    </w:rPr>
  </w:style>
  <w:style w:styleId="BodyText" w:type="paragraph">
    <w:name w:val="Body Text"/>
    <w:basedOn w:val="Normal"/>
    <w:uiPriority w:val="1"/>
    <w:qFormat/>
    <w:pPr>
      <w:ind w:left="460" w:right="115"/>
    </w:pPr>
    <w:rPr>
      <w:rFonts w:ascii="細明體" w:hAnsi="細明體" w:eastAsia="細明體" w:cs="細明體"/>
      <w:sz w:val="22"/>
      <w:szCs w:val="22"/>
      <w:lang w:val="en-US" w:eastAsia="zh-TW" w:bidi="ar-SA"/>
    </w:rPr>
  </w:style>
  <w:style w:styleId="Heading1" w:type="paragraph">
    <w:name w:val="Heading 1"/>
    <w:basedOn w:val="Normal"/>
    <w:uiPriority w:val="1"/>
    <w:qFormat/>
    <w:pPr>
      <w:spacing w:before="140"/>
      <w:ind w:left="460"/>
      <w:outlineLvl w:val="1"/>
    </w:pPr>
    <w:rPr>
      <w:rFonts w:ascii="細明體" w:hAnsi="細明體" w:eastAsia="細明體" w:cs="細明體"/>
      <w:b/>
      <w:bCs/>
      <w:sz w:val="24"/>
      <w:szCs w:val="24"/>
      <w:lang w:val="en-US" w:eastAsia="zh-TW" w:bidi="ar-SA"/>
    </w:rPr>
  </w:style>
  <w:style w:styleId="ListParagraph" w:type="paragraph">
    <w:name w:val="List Paragraph"/>
    <w:basedOn w:val="Normal"/>
    <w:uiPriority w:val="1"/>
    <w:qFormat/>
    <w:pPr>
      <w:ind w:left="460" w:right="115" w:hanging="360"/>
      <w:jc w:val="both"/>
    </w:pPr>
    <w:rPr>
      <w:rFonts w:ascii="細明體" w:hAnsi="細明體" w:eastAsia="細明體" w:cs="細明體"/>
      <w:lang w:val="en-US" w:eastAsia="zh-TW" w:bidi="ar-SA"/>
    </w:rPr>
  </w:style>
  <w:style w:styleId="TableParagraph" w:type="paragraph">
    <w:name w:val="Table Paragraph"/>
    <w:basedOn w:val="Normal"/>
    <w:uiPriority w:val="1"/>
    <w:qFormat/>
    <w:pPr/>
    <w:rPr>
      <w:lang w:val="en-US" w:eastAsia="zh-TW"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2024-01-17T00:39:52Z</dcterms:created>
  <dcterms:modified xsi:type="dcterms:W3CDTF">2024-01-17T00:39:52Z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2024-01-04T00:00:00Z</vt:filetime>
  </property>
  <property fmtid="{D5CDD505-2E9C-101B-9397-08002B2CF9AE}" pid="3" name="LastSaved">
    <vt:filetime>2024-01-17T00:00:00Z</vt:filetime>
  </property>
  <property fmtid="{D5CDD505-2E9C-101B-9397-08002B2CF9AE}" pid="4" name="Producer">
    <vt:lpwstr>iTextSharp™ 5.5.13.2 ©2000-2020 iText Group NV (AGPL-version)</vt:lpwstr>
  </property>
</Properties>
</file>